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ascii="楷体" w:hAnsi="楷体" w:eastAsia="楷体"/>
          <w:color w:val="auto"/>
          <w:highlight w:val="none"/>
          <w:u w:val="none"/>
        </w:rPr>
      </w:pPr>
      <w:bookmarkStart w:id="88" w:name="_GoBack"/>
      <w:bookmarkEnd w:id="88"/>
    </w:p>
    <w:p>
      <w:pPr>
        <w:wordWrap/>
        <w:spacing w:line="360" w:lineRule="auto"/>
        <w:jc w:val="left"/>
        <w:rPr>
          <w:rFonts w:ascii="楷体" w:hAnsi="楷体" w:eastAsia="楷体"/>
          <w:b/>
          <w:color w:val="auto"/>
          <w:sz w:val="24"/>
          <w:highlight w:val="none"/>
          <w:u w:val="none"/>
        </w:rPr>
      </w:pPr>
      <w:r>
        <w:rPr>
          <w:rFonts w:hint="eastAsia" w:ascii="楷体" w:hAnsi="楷体" w:eastAsia="楷体"/>
          <w:b/>
          <w:color w:val="auto"/>
          <w:sz w:val="24"/>
          <w:highlight w:val="none"/>
          <w:u w:val="none"/>
        </w:rPr>
        <w:t>管理人登记编号</w:t>
      </w:r>
      <w:r>
        <w:rPr>
          <w:rFonts w:ascii="楷体" w:hAnsi="楷体" w:eastAsia="楷体"/>
          <w:b/>
          <w:color w:val="auto"/>
          <w:sz w:val="24"/>
          <w:highlight w:val="none"/>
          <w:u w:val="none"/>
        </w:rPr>
        <w:t>:P1022700          产品备案编号：ST4798</w:t>
      </w:r>
    </w:p>
    <w:p>
      <w:pPr>
        <w:spacing w:line="360" w:lineRule="auto"/>
        <w:jc w:val="right"/>
        <w:rPr>
          <w:rFonts w:ascii="楷体" w:hAnsi="楷体" w:eastAsia="楷体"/>
          <w:color w:val="auto"/>
          <w:highlight w:val="none"/>
          <w:u w:val="none"/>
        </w:rPr>
      </w:pPr>
    </w:p>
    <w:p>
      <w:pPr>
        <w:spacing w:line="360" w:lineRule="auto"/>
        <w:jc w:val="right"/>
        <w:rPr>
          <w:rFonts w:ascii="楷体" w:hAnsi="楷体" w:eastAsia="楷体"/>
          <w:color w:val="auto"/>
          <w:highlight w:val="none"/>
          <w:u w:val="none"/>
        </w:rPr>
      </w:pPr>
    </w:p>
    <w:p>
      <w:pPr>
        <w:spacing w:line="360" w:lineRule="auto"/>
        <w:jc w:val="right"/>
        <w:rPr>
          <w:rFonts w:ascii="楷体" w:hAnsi="楷体" w:eastAsia="楷体"/>
          <w:color w:val="auto"/>
          <w:highlight w:val="none"/>
          <w:u w:val="none"/>
        </w:rPr>
      </w:pPr>
    </w:p>
    <w:p>
      <w:pPr>
        <w:spacing w:line="360" w:lineRule="auto"/>
        <w:jc w:val="right"/>
        <w:rPr>
          <w:rFonts w:ascii="楷体" w:hAnsi="楷体" w:eastAsia="楷体"/>
          <w:color w:val="auto"/>
          <w:highlight w:val="none"/>
          <w:u w:val="none"/>
        </w:rPr>
      </w:pPr>
    </w:p>
    <w:p>
      <w:pPr>
        <w:spacing w:line="360" w:lineRule="auto"/>
        <w:jc w:val="right"/>
        <w:rPr>
          <w:rFonts w:ascii="楷体" w:hAnsi="楷体" w:eastAsia="楷体"/>
          <w:color w:val="auto"/>
          <w:highlight w:val="none"/>
          <w:u w:val="none"/>
        </w:rPr>
      </w:pPr>
    </w:p>
    <w:p>
      <w:pPr>
        <w:spacing w:line="360" w:lineRule="auto"/>
        <w:rPr>
          <w:rFonts w:ascii="楷体" w:hAnsi="楷体" w:eastAsia="楷体"/>
          <w:color w:val="auto"/>
          <w:highlight w:val="none"/>
          <w:u w:val="none"/>
        </w:rPr>
      </w:pPr>
    </w:p>
    <w:p>
      <w:pPr>
        <w:snapToGrid w:val="0"/>
        <w:spacing w:before="312" w:beforeLines="-2147483648" w:after="312" w:afterLines="-2147483648" w:line="360" w:lineRule="auto"/>
        <w:jc w:val="center"/>
        <w:rPr>
          <w:rFonts w:ascii="楷体" w:hAnsi="楷体" w:eastAsia="楷体"/>
          <w:b/>
          <w:color w:val="auto"/>
          <w:sz w:val="44"/>
          <w:szCs w:val="48"/>
          <w:highlight w:val="none"/>
          <w:u w:val="none"/>
        </w:rPr>
      </w:pPr>
      <w:bookmarkStart w:id="0" w:name="_Toc393454274"/>
      <w:r>
        <w:rPr>
          <w:rFonts w:hint="eastAsia" w:ascii="楷体" w:hAnsi="楷体" w:eastAsia="楷体"/>
          <w:b/>
          <w:color w:val="auto"/>
          <w:sz w:val="44"/>
          <w:szCs w:val="48"/>
          <w:highlight w:val="none"/>
          <w:u w:val="none"/>
        </w:rPr>
        <w:t>睿璞投资</w:t>
      </w:r>
      <w:r>
        <w:rPr>
          <w:rFonts w:ascii="楷体" w:hAnsi="楷体" w:eastAsia="楷体"/>
          <w:b/>
          <w:color w:val="auto"/>
          <w:sz w:val="44"/>
          <w:szCs w:val="48"/>
          <w:highlight w:val="none"/>
          <w:u w:val="none"/>
        </w:rPr>
        <w:t>-睿</w:t>
      </w:r>
      <w:r>
        <w:rPr>
          <w:rFonts w:hint="eastAsia" w:ascii="楷体" w:hAnsi="楷体" w:eastAsia="楷体"/>
          <w:b/>
          <w:color w:val="auto"/>
          <w:sz w:val="44"/>
          <w:szCs w:val="48"/>
          <w:highlight w:val="none"/>
          <w:u w:val="none"/>
        </w:rPr>
        <w:t>洪三号私募证券投资基金</w:t>
      </w:r>
    </w:p>
    <w:p>
      <w:pPr>
        <w:snapToGrid w:val="0"/>
        <w:spacing w:before="312" w:beforeLines="-2147483648" w:after="312" w:afterLines="-2147483648" w:line="360" w:lineRule="auto"/>
        <w:jc w:val="center"/>
        <w:rPr>
          <w:rFonts w:ascii="楷体" w:hAnsi="楷体" w:eastAsia="楷体"/>
          <w:b/>
          <w:color w:val="auto"/>
          <w:sz w:val="44"/>
          <w:szCs w:val="48"/>
          <w:highlight w:val="none"/>
          <w:u w:val="none"/>
        </w:rPr>
      </w:pPr>
      <w:bookmarkStart w:id="1" w:name="_Toc441160094"/>
      <w:bookmarkStart w:id="2" w:name="_Toc453658080"/>
      <w:bookmarkStart w:id="3" w:name="_Toc408509139"/>
      <w:bookmarkStart w:id="4" w:name="_Toc441342327"/>
      <w:bookmarkStart w:id="5" w:name="_Toc441342698"/>
      <w:bookmarkStart w:id="6" w:name="_Toc426128538"/>
      <w:r>
        <w:rPr>
          <w:rFonts w:ascii="楷体" w:hAnsi="楷体" w:eastAsia="楷体"/>
          <w:b/>
          <w:color w:val="auto"/>
          <w:sz w:val="44"/>
          <w:szCs w:val="48"/>
          <w:highlight w:val="none"/>
          <w:u w:val="none"/>
        </w:rPr>
        <w:t>基金合同</w:t>
      </w:r>
      <w:bookmarkEnd w:id="0"/>
      <w:bookmarkEnd w:id="1"/>
      <w:bookmarkEnd w:id="2"/>
      <w:bookmarkEnd w:id="3"/>
      <w:bookmarkEnd w:id="4"/>
      <w:bookmarkEnd w:id="5"/>
      <w:bookmarkEnd w:id="6"/>
    </w:p>
    <w:p>
      <w:pPr>
        <w:spacing w:line="360" w:lineRule="auto"/>
        <w:rPr>
          <w:rFonts w:ascii="楷体" w:hAnsi="楷体" w:eastAsia="楷体"/>
          <w:color w:val="auto"/>
          <w:highlight w:val="none"/>
          <w:u w:val="none"/>
        </w:rPr>
      </w:pPr>
    </w:p>
    <w:p>
      <w:pPr>
        <w:spacing w:line="360" w:lineRule="auto"/>
        <w:rPr>
          <w:rFonts w:ascii="楷体" w:hAnsi="楷体" w:eastAsia="楷体"/>
          <w:color w:val="auto"/>
          <w:highlight w:val="none"/>
          <w:u w:val="none"/>
        </w:rPr>
      </w:pPr>
    </w:p>
    <w:p>
      <w:pPr>
        <w:spacing w:line="360" w:lineRule="auto"/>
        <w:rPr>
          <w:rFonts w:ascii="楷体" w:hAnsi="楷体" w:eastAsia="楷体"/>
          <w:color w:val="auto"/>
          <w:highlight w:val="none"/>
          <w:u w:val="none"/>
        </w:rPr>
      </w:pPr>
    </w:p>
    <w:p>
      <w:pPr>
        <w:spacing w:line="360" w:lineRule="auto"/>
        <w:rPr>
          <w:rFonts w:ascii="楷体" w:hAnsi="楷体" w:eastAsia="楷体"/>
          <w:color w:val="auto"/>
          <w:highlight w:val="none"/>
          <w:u w:val="none"/>
        </w:rPr>
      </w:pPr>
    </w:p>
    <w:p>
      <w:pPr>
        <w:spacing w:line="360" w:lineRule="auto"/>
        <w:rPr>
          <w:rFonts w:ascii="楷体" w:hAnsi="楷体" w:eastAsia="楷体"/>
          <w:color w:val="auto"/>
          <w:highlight w:val="none"/>
          <w:u w:val="none"/>
        </w:rPr>
      </w:pPr>
    </w:p>
    <w:p>
      <w:pPr>
        <w:spacing w:line="360" w:lineRule="auto"/>
        <w:rPr>
          <w:rFonts w:ascii="楷体" w:hAnsi="楷体" w:eastAsia="楷体"/>
          <w:color w:val="auto"/>
          <w:highlight w:val="none"/>
          <w:u w:val="none"/>
        </w:rPr>
      </w:pPr>
    </w:p>
    <w:p>
      <w:pPr>
        <w:spacing w:line="360" w:lineRule="auto"/>
        <w:rPr>
          <w:rFonts w:ascii="楷体" w:hAnsi="楷体" w:eastAsia="楷体"/>
          <w:color w:val="auto"/>
          <w:highlight w:val="none"/>
          <w:u w:val="none"/>
        </w:rPr>
      </w:pPr>
    </w:p>
    <w:p>
      <w:pPr>
        <w:spacing w:line="360" w:lineRule="auto"/>
        <w:rPr>
          <w:rFonts w:ascii="楷体" w:hAnsi="楷体" w:eastAsia="楷体"/>
          <w:color w:val="auto"/>
          <w:highlight w:val="none"/>
          <w:u w:val="none"/>
        </w:rPr>
      </w:pPr>
    </w:p>
    <w:p>
      <w:pPr>
        <w:spacing w:line="360" w:lineRule="auto"/>
        <w:rPr>
          <w:rFonts w:ascii="楷体" w:hAnsi="楷体" w:eastAsia="楷体"/>
          <w:color w:val="auto"/>
          <w:highlight w:val="none"/>
          <w:u w:val="none"/>
        </w:rPr>
      </w:pPr>
    </w:p>
    <w:p>
      <w:pPr>
        <w:spacing w:line="360" w:lineRule="auto"/>
        <w:rPr>
          <w:rFonts w:ascii="楷体" w:hAnsi="楷体" w:eastAsia="楷体"/>
          <w:color w:val="auto"/>
          <w:highlight w:val="none"/>
          <w:u w:val="none"/>
        </w:rPr>
      </w:pPr>
    </w:p>
    <w:p>
      <w:pPr>
        <w:spacing w:line="360" w:lineRule="auto"/>
        <w:rPr>
          <w:rFonts w:ascii="楷体" w:hAnsi="楷体" w:eastAsia="楷体"/>
          <w:color w:val="auto"/>
          <w:highlight w:val="none"/>
          <w:u w:val="none"/>
        </w:rPr>
      </w:pPr>
    </w:p>
    <w:p>
      <w:pPr>
        <w:spacing w:line="360" w:lineRule="auto"/>
        <w:rPr>
          <w:rFonts w:ascii="楷体" w:hAnsi="楷体" w:eastAsia="楷体"/>
          <w:color w:val="auto"/>
          <w:highlight w:val="none"/>
          <w:u w:val="none"/>
        </w:rPr>
      </w:pPr>
    </w:p>
    <w:p>
      <w:pPr>
        <w:spacing w:line="360" w:lineRule="auto"/>
        <w:rPr>
          <w:rFonts w:ascii="楷体" w:hAnsi="楷体" w:eastAsia="楷体"/>
          <w:color w:val="auto"/>
          <w:highlight w:val="none"/>
          <w:u w:val="none"/>
        </w:rPr>
      </w:pPr>
    </w:p>
    <w:p>
      <w:pPr>
        <w:spacing w:line="360" w:lineRule="auto"/>
        <w:ind w:left="2205" w:leftChars="1050" w:firstLine="0" w:firstLineChars="0"/>
        <w:rPr>
          <w:rFonts w:ascii="楷体" w:hAnsi="楷体" w:eastAsia="楷体"/>
          <w:b/>
          <w:color w:val="auto"/>
          <w:sz w:val="24"/>
          <w:szCs w:val="28"/>
          <w:highlight w:val="none"/>
          <w:u w:val="none"/>
        </w:rPr>
      </w:pPr>
      <w:r>
        <w:rPr>
          <w:rFonts w:ascii="楷体" w:hAnsi="楷体" w:eastAsia="楷体"/>
          <w:b/>
          <w:color w:val="auto"/>
          <w:sz w:val="24"/>
          <w:szCs w:val="28"/>
          <w:highlight w:val="none"/>
          <w:u w:val="none"/>
        </w:rPr>
        <w:t>管理人：</w:t>
      </w:r>
      <w:r>
        <w:rPr>
          <w:rFonts w:hint="eastAsia" w:ascii="楷体" w:hAnsi="楷体" w:eastAsia="楷体"/>
          <w:b/>
          <w:color w:val="auto"/>
          <w:sz w:val="24"/>
          <w:szCs w:val="28"/>
          <w:highlight w:val="none"/>
          <w:u w:val="none"/>
        </w:rPr>
        <w:t>广东睿璞投资管理有限公司</w:t>
      </w:r>
    </w:p>
    <w:p>
      <w:pPr>
        <w:spacing w:line="360" w:lineRule="auto"/>
        <w:ind w:left="2205" w:leftChars="1050" w:firstLine="0" w:firstLineChars="0"/>
        <w:rPr>
          <w:rFonts w:ascii="楷体" w:hAnsi="楷体" w:eastAsia="楷体"/>
          <w:b/>
          <w:color w:val="auto"/>
          <w:sz w:val="24"/>
          <w:szCs w:val="28"/>
          <w:highlight w:val="none"/>
          <w:u w:val="none"/>
        </w:rPr>
      </w:pPr>
      <w:r>
        <w:rPr>
          <w:rFonts w:ascii="楷体" w:hAnsi="楷体" w:eastAsia="楷体"/>
          <w:b/>
          <w:color w:val="auto"/>
          <w:sz w:val="24"/>
          <w:szCs w:val="28"/>
          <w:highlight w:val="none"/>
          <w:u w:val="none"/>
        </w:rPr>
        <w:t>托管人：国信证券股份有限公司</w:t>
      </w:r>
    </w:p>
    <w:p>
      <w:pPr>
        <w:spacing w:line="360" w:lineRule="auto"/>
        <w:ind w:left="2205" w:leftChars="1050"/>
        <w:rPr>
          <w:rFonts w:ascii="楷体" w:hAnsi="楷体" w:eastAsia="楷体"/>
          <w:b/>
          <w:color w:val="auto"/>
          <w:sz w:val="24"/>
          <w:szCs w:val="28"/>
          <w:highlight w:val="none"/>
          <w:u w:val="none"/>
        </w:rPr>
        <w:sectPr>
          <w:headerReference r:id="rId3" w:type="default"/>
          <w:footerReference r:id="rId4" w:type="default"/>
          <w:pgSz w:w="11906" w:h="16838"/>
          <w:pgMar w:top="1440" w:right="1797" w:bottom="1440" w:left="1797" w:header="851" w:footer="992" w:gutter="0"/>
          <w:pgNumType w:start="1"/>
          <w:cols w:space="720" w:num="1"/>
          <w:docGrid w:type="lines" w:linePitch="312" w:charSpace="0"/>
        </w:sectPr>
      </w:pPr>
    </w:p>
    <w:p>
      <w:pPr>
        <w:pStyle w:val="22"/>
        <w:tabs>
          <w:tab w:val="right" w:leader="dot" w:pos="8302"/>
        </w:tabs>
        <w:jc w:val="center"/>
        <w:rPr>
          <w:rFonts w:ascii="楷体" w:hAnsi="楷体" w:eastAsia="楷体"/>
          <w:color w:val="auto"/>
          <w:sz w:val="28"/>
          <w:szCs w:val="28"/>
          <w:highlight w:val="none"/>
          <w:u w:val="none"/>
        </w:rPr>
      </w:pPr>
      <w:r>
        <w:rPr>
          <w:rFonts w:ascii="楷体" w:hAnsi="楷体" w:eastAsia="楷体"/>
          <w:color w:val="auto"/>
          <w:sz w:val="28"/>
          <w:szCs w:val="28"/>
          <w:highlight w:val="none"/>
          <w:u w:val="none"/>
        </w:rPr>
        <w:t>目录</w:t>
      </w:r>
    </w:p>
    <w:p>
      <w:pPr>
        <w:pStyle w:val="22"/>
        <w:tabs>
          <w:tab w:val="right" w:leader="dot" w:pos="8302"/>
        </w:tabs>
        <w:rPr>
          <w:rFonts w:asciiTheme="minorHAnsi" w:hAnsiTheme="minorHAnsi" w:eastAsiaTheme="minorEastAsia" w:cstheme="minorBidi"/>
          <w:b w:val="0"/>
          <w:bCs w:val="0"/>
          <w:caps w:val="0"/>
          <w:color w:val="auto"/>
          <w:sz w:val="21"/>
          <w:szCs w:val="22"/>
          <w:highlight w:val="none"/>
          <w:u w:val="none"/>
        </w:rPr>
      </w:pPr>
      <w:r>
        <w:rPr>
          <w:rFonts w:ascii="楷体" w:hAnsi="楷体" w:eastAsia="楷体"/>
          <w:b/>
          <w:bCs/>
          <w:caps/>
          <w:smallCaps/>
          <w:color w:val="auto"/>
          <w:sz w:val="20"/>
          <w:szCs w:val="21"/>
          <w:highlight w:val="none"/>
          <w:u w:val="none"/>
        </w:rPr>
        <w:fldChar w:fldCharType="begin"/>
      </w:r>
      <w:r>
        <w:rPr>
          <w:rFonts w:ascii="楷体" w:hAnsi="楷体" w:eastAsia="楷体"/>
          <w:color w:val="auto"/>
          <w:szCs w:val="21"/>
          <w:highlight w:val="none"/>
          <w:u w:val="none"/>
        </w:rPr>
        <w:instrText xml:space="preserve">TOC \o "1-3" \h \z \u</w:instrText>
      </w:r>
      <w:r>
        <w:rPr>
          <w:rFonts w:ascii="楷体" w:hAnsi="楷体" w:eastAsia="楷体"/>
          <w:b/>
          <w:bCs/>
          <w:caps/>
          <w:smallCaps/>
          <w:color w:val="auto"/>
          <w:sz w:val="20"/>
          <w:szCs w:val="21"/>
          <w:highlight w:val="none"/>
          <w:u w:val="none"/>
        </w:rPr>
        <w:fldChar w:fldCharType="separate"/>
      </w:r>
      <w:r>
        <w:rPr>
          <w:rStyle w:val="30"/>
          <w:color w:val="auto"/>
          <w:highlight w:val="none"/>
        </w:rPr>
        <w:fldChar w:fldCharType="begin"/>
      </w:r>
      <w:r>
        <w:rPr>
          <w:color w:val="auto"/>
          <w:highlight w:val="none"/>
          <w:u w:val="none"/>
        </w:rPr>
        <w:instrText xml:space="preserve">HYPERLINK \l "_Toc482974525"</w:instrText>
      </w:r>
      <w:r>
        <w:rPr>
          <w:rStyle w:val="30"/>
          <w:color w:val="auto"/>
          <w:highlight w:val="none"/>
        </w:rPr>
        <w:fldChar w:fldCharType="separate"/>
      </w:r>
      <w:r>
        <w:rPr>
          <w:rStyle w:val="30"/>
          <w:rFonts w:hint="eastAsia" w:ascii="楷体" w:hAnsi="楷体" w:eastAsia="楷体"/>
          <w:color w:val="auto"/>
          <w:highlight w:val="none"/>
        </w:rPr>
        <w:t>第一节前言</w:t>
      </w:r>
      <w:r>
        <w:rPr>
          <w:color w:val="auto"/>
          <w:highlight w:val="none"/>
          <w:u w:val="none"/>
        </w:rPr>
        <w:tab/>
      </w:r>
      <w:r>
        <w:rPr>
          <w:color w:val="auto"/>
          <w:highlight w:val="none"/>
          <w:u w:val="none"/>
        </w:rPr>
        <w:fldChar w:fldCharType="begin"/>
      </w:r>
      <w:r>
        <w:rPr>
          <w:color w:val="auto"/>
          <w:highlight w:val="none"/>
          <w:u w:val="none"/>
        </w:rPr>
        <w:instrText xml:space="preserve"> PAGEREF _Toc482974525 \h </w:instrText>
      </w:r>
      <w:r>
        <w:rPr>
          <w:color w:val="auto"/>
          <w:highlight w:val="none"/>
          <w:u w:val="none"/>
        </w:rPr>
        <w:fldChar w:fldCharType="separate"/>
      </w:r>
      <w:r>
        <w:rPr>
          <w:color w:val="auto"/>
          <w:highlight w:val="none"/>
          <w:u w:val="none"/>
        </w:rPr>
        <w:t>1</w:t>
      </w:r>
      <w:r>
        <w:rPr>
          <w:color w:val="auto"/>
          <w:highlight w:val="none"/>
          <w:u w:val="none"/>
        </w:rPr>
        <w:fldChar w:fldCharType="end"/>
      </w:r>
      <w:r>
        <w:rPr>
          <w:rStyle w:val="30"/>
          <w:color w:val="auto"/>
          <w:highlight w:val="none"/>
        </w:rPr>
        <w:fldChar w:fldCharType="end"/>
      </w:r>
    </w:p>
    <w:p>
      <w:pPr>
        <w:pStyle w:val="22"/>
        <w:tabs>
          <w:tab w:val="right" w:leader="dot" w:pos="8302"/>
        </w:tabs>
        <w:rPr>
          <w:rFonts w:asciiTheme="minorHAnsi" w:hAnsiTheme="minorHAnsi" w:eastAsiaTheme="minorEastAsia" w:cstheme="minorBidi"/>
          <w:b w:val="0"/>
          <w:bCs w:val="0"/>
          <w:caps w:val="0"/>
          <w:color w:val="auto"/>
          <w:sz w:val="21"/>
          <w:szCs w:val="22"/>
          <w:highlight w:val="none"/>
          <w:u w:val="none"/>
        </w:rPr>
      </w:pPr>
      <w:r>
        <w:rPr>
          <w:rStyle w:val="30"/>
          <w:color w:val="auto"/>
          <w:highlight w:val="none"/>
        </w:rPr>
        <w:fldChar w:fldCharType="begin"/>
      </w:r>
      <w:r>
        <w:rPr>
          <w:color w:val="auto"/>
          <w:highlight w:val="none"/>
          <w:u w:val="none"/>
        </w:rPr>
        <w:instrText xml:space="preserve">HYPERLINK \l "_Toc482974526"</w:instrText>
      </w:r>
      <w:r>
        <w:rPr>
          <w:rStyle w:val="30"/>
          <w:color w:val="auto"/>
          <w:highlight w:val="none"/>
        </w:rPr>
        <w:fldChar w:fldCharType="separate"/>
      </w:r>
      <w:r>
        <w:rPr>
          <w:rStyle w:val="30"/>
          <w:rFonts w:hint="eastAsia" w:ascii="楷体" w:hAnsi="楷体" w:eastAsia="楷体"/>
          <w:color w:val="auto"/>
          <w:highlight w:val="none"/>
        </w:rPr>
        <w:t>第二节释义</w:t>
      </w:r>
      <w:r>
        <w:rPr>
          <w:color w:val="auto"/>
          <w:highlight w:val="none"/>
          <w:u w:val="none"/>
        </w:rPr>
        <w:tab/>
      </w:r>
      <w:r>
        <w:rPr>
          <w:color w:val="auto"/>
          <w:highlight w:val="none"/>
          <w:u w:val="none"/>
        </w:rPr>
        <w:fldChar w:fldCharType="begin"/>
      </w:r>
      <w:r>
        <w:rPr>
          <w:color w:val="auto"/>
          <w:highlight w:val="none"/>
          <w:u w:val="none"/>
        </w:rPr>
        <w:instrText xml:space="preserve"> PAGEREF _Toc482974526 \h </w:instrText>
      </w:r>
      <w:r>
        <w:rPr>
          <w:color w:val="auto"/>
          <w:highlight w:val="none"/>
          <w:u w:val="none"/>
        </w:rPr>
        <w:fldChar w:fldCharType="separate"/>
      </w:r>
      <w:r>
        <w:rPr>
          <w:color w:val="auto"/>
          <w:highlight w:val="none"/>
          <w:u w:val="none"/>
        </w:rPr>
        <w:t>1</w:t>
      </w:r>
      <w:r>
        <w:rPr>
          <w:color w:val="auto"/>
          <w:highlight w:val="none"/>
          <w:u w:val="none"/>
        </w:rPr>
        <w:fldChar w:fldCharType="end"/>
      </w:r>
      <w:r>
        <w:rPr>
          <w:rStyle w:val="30"/>
          <w:color w:val="auto"/>
          <w:highlight w:val="none"/>
        </w:rPr>
        <w:fldChar w:fldCharType="end"/>
      </w:r>
    </w:p>
    <w:p>
      <w:pPr>
        <w:pStyle w:val="22"/>
        <w:tabs>
          <w:tab w:val="right" w:leader="dot" w:pos="8302"/>
        </w:tabs>
        <w:rPr>
          <w:rFonts w:asciiTheme="minorHAnsi" w:hAnsiTheme="minorHAnsi" w:eastAsiaTheme="minorEastAsia" w:cstheme="minorBidi"/>
          <w:b w:val="0"/>
          <w:bCs w:val="0"/>
          <w:caps w:val="0"/>
          <w:color w:val="auto"/>
          <w:sz w:val="21"/>
          <w:szCs w:val="22"/>
          <w:highlight w:val="none"/>
          <w:u w:val="none"/>
        </w:rPr>
      </w:pPr>
      <w:r>
        <w:rPr>
          <w:rStyle w:val="30"/>
          <w:color w:val="auto"/>
          <w:highlight w:val="none"/>
        </w:rPr>
        <w:fldChar w:fldCharType="begin"/>
      </w:r>
      <w:r>
        <w:rPr>
          <w:color w:val="auto"/>
          <w:highlight w:val="none"/>
          <w:u w:val="none"/>
        </w:rPr>
        <w:instrText xml:space="preserve">HYPERLINK \l "_Toc482974527"</w:instrText>
      </w:r>
      <w:r>
        <w:rPr>
          <w:rStyle w:val="30"/>
          <w:color w:val="auto"/>
          <w:highlight w:val="none"/>
        </w:rPr>
        <w:fldChar w:fldCharType="separate"/>
      </w:r>
      <w:r>
        <w:rPr>
          <w:rStyle w:val="30"/>
          <w:rFonts w:hint="eastAsia" w:ascii="楷体" w:hAnsi="楷体" w:eastAsia="楷体"/>
          <w:color w:val="auto"/>
          <w:highlight w:val="none"/>
        </w:rPr>
        <w:t>第三节声明与承诺</w:t>
      </w:r>
      <w:r>
        <w:rPr>
          <w:color w:val="auto"/>
          <w:highlight w:val="none"/>
          <w:u w:val="none"/>
        </w:rPr>
        <w:tab/>
      </w:r>
      <w:r>
        <w:rPr>
          <w:color w:val="auto"/>
          <w:highlight w:val="none"/>
          <w:u w:val="none"/>
        </w:rPr>
        <w:fldChar w:fldCharType="begin"/>
      </w:r>
      <w:r>
        <w:rPr>
          <w:color w:val="auto"/>
          <w:highlight w:val="none"/>
          <w:u w:val="none"/>
        </w:rPr>
        <w:instrText xml:space="preserve"> PAGEREF _Toc482974527 \h </w:instrText>
      </w:r>
      <w:r>
        <w:rPr>
          <w:color w:val="auto"/>
          <w:highlight w:val="none"/>
          <w:u w:val="none"/>
        </w:rPr>
        <w:fldChar w:fldCharType="separate"/>
      </w:r>
      <w:r>
        <w:rPr>
          <w:color w:val="auto"/>
          <w:highlight w:val="none"/>
          <w:u w:val="none"/>
        </w:rPr>
        <w:t>4</w:t>
      </w:r>
      <w:r>
        <w:rPr>
          <w:color w:val="auto"/>
          <w:highlight w:val="none"/>
          <w:u w:val="none"/>
        </w:rPr>
        <w:fldChar w:fldCharType="end"/>
      </w:r>
      <w:r>
        <w:rPr>
          <w:rStyle w:val="30"/>
          <w:color w:val="auto"/>
          <w:highlight w:val="none"/>
        </w:rPr>
        <w:fldChar w:fldCharType="end"/>
      </w:r>
    </w:p>
    <w:p>
      <w:pPr>
        <w:pStyle w:val="22"/>
        <w:tabs>
          <w:tab w:val="right" w:leader="dot" w:pos="8302"/>
        </w:tabs>
        <w:rPr>
          <w:rFonts w:asciiTheme="minorHAnsi" w:hAnsiTheme="minorHAnsi" w:eastAsiaTheme="minorEastAsia" w:cstheme="minorBidi"/>
          <w:b w:val="0"/>
          <w:bCs w:val="0"/>
          <w:caps w:val="0"/>
          <w:color w:val="auto"/>
          <w:sz w:val="21"/>
          <w:szCs w:val="22"/>
          <w:highlight w:val="none"/>
          <w:u w:val="none"/>
        </w:rPr>
      </w:pPr>
      <w:r>
        <w:rPr>
          <w:rStyle w:val="30"/>
          <w:color w:val="auto"/>
          <w:highlight w:val="none"/>
        </w:rPr>
        <w:fldChar w:fldCharType="begin"/>
      </w:r>
      <w:r>
        <w:rPr>
          <w:color w:val="auto"/>
          <w:highlight w:val="none"/>
          <w:u w:val="none"/>
        </w:rPr>
        <w:instrText xml:space="preserve">HYPERLINK \l "_Toc482974528"</w:instrText>
      </w:r>
      <w:r>
        <w:rPr>
          <w:rStyle w:val="30"/>
          <w:color w:val="auto"/>
          <w:highlight w:val="none"/>
        </w:rPr>
        <w:fldChar w:fldCharType="separate"/>
      </w:r>
      <w:r>
        <w:rPr>
          <w:rStyle w:val="30"/>
          <w:rFonts w:hint="eastAsia" w:ascii="楷体" w:hAnsi="楷体" w:eastAsia="楷体"/>
          <w:color w:val="auto"/>
          <w:highlight w:val="none"/>
        </w:rPr>
        <w:t>第四节基金的基本情况</w:t>
      </w:r>
      <w:r>
        <w:rPr>
          <w:color w:val="auto"/>
          <w:highlight w:val="none"/>
          <w:u w:val="none"/>
        </w:rPr>
        <w:tab/>
      </w:r>
      <w:r>
        <w:rPr>
          <w:color w:val="auto"/>
          <w:highlight w:val="none"/>
          <w:u w:val="none"/>
        </w:rPr>
        <w:fldChar w:fldCharType="begin"/>
      </w:r>
      <w:r>
        <w:rPr>
          <w:color w:val="auto"/>
          <w:highlight w:val="none"/>
          <w:u w:val="none"/>
        </w:rPr>
        <w:instrText xml:space="preserve"> PAGEREF _Toc482974528 \h </w:instrText>
      </w:r>
      <w:r>
        <w:rPr>
          <w:color w:val="auto"/>
          <w:highlight w:val="none"/>
          <w:u w:val="none"/>
        </w:rPr>
        <w:fldChar w:fldCharType="separate"/>
      </w:r>
      <w:r>
        <w:rPr>
          <w:color w:val="auto"/>
          <w:highlight w:val="none"/>
          <w:u w:val="none"/>
        </w:rPr>
        <w:t>5</w:t>
      </w:r>
      <w:r>
        <w:rPr>
          <w:color w:val="auto"/>
          <w:highlight w:val="none"/>
          <w:u w:val="none"/>
        </w:rPr>
        <w:fldChar w:fldCharType="end"/>
      </w:r>
      <w:r>
        <w:rPr>
          <w:rStyle w:val="30"/>
          <w:color w:val="auto"/>
          <w:highlight w:val="none"/>
        </w:rPr>
        <w:fldChar w:fldCharType="end"/>
      </w:r>
    </w:p>
    <w:p>
      <w:pPr>
        <w:pStyle w:val="22"/>
        <w:tabs>
          <w:tab w:val="right" w:leader="dot" w:pos="8302"/>
        </w:tabs>
        <w:rPr>
          <w:rFonts w:asciiTheme="minorHAnsi" w:hAnsiTheme="minorHAnsi" w:eastAsiaTheme="minorEastAsia" w:cstheme="minorBidi"/>
          <w:b w:val="0"/>
          <w:bCs w:val="0"/>
          <w:caps w:val="0"/>
          <w:color w:val="auto"/>
          <w:sz w:val="21"/>
          <w:szCs w:val="22"/>
          <w:highlight w:val="none"/>
          <w:u w:val="none"/>
        </w:rPr>
      </w:pPr>
      <w:r>
        <w:rPr>
          <w:rStyle w:val="30"/>
          <w:color w:val="auto"/>
          <w:highlight w:val="none"/>
        </w:rPr>
        <w:fldChar w:fldCharType="begin"/>
      </w:r>
      <w:r>
        <w:rPr>
          <w:color w:val="auto"/>
          <w:highlight w:val="none"/>
          <w:u w:val="none"/>
        </w:rPr>
        <w:instrText xml:space="preserve">HYPERLINK \l "_Toc482974529"</w:instrText>
      </w:r>
      <w:r>
        <w:rPr>
          <w:rStyle w:val="30"/>
          <w:color w:val="auto"/>
          <w:highlight w:val="none"/>
        </w:rPr>
        <w:fldChar w:fldCharType="separate"/>
      </w:r>
      <w:r>
        <w:rPr>
          <w:rStyle w:val="30"/>
          <w:rFonts w:hint="eastAsia" w:ascii="楷体" w:hAnsi="楷体" w:eastAsia="楷体"/>
          <w:color w:val="auto"/>
          <w:highlight w:val="none"/>
        </w:rPr>
        <w:t>第五节基金份额的初始销售</w:t>
      </w:r>
      <w:r>
        <w:rPr>
          <w:color w:val="auto"/>
          <w:highlight w:val="none"/>
          <w:u w:val="none"/>
        </w:rPr>
        <w:tab/>
      </w:r>
      <w:r>
        <w:rPr>
          <w:color w:val="auto"/>
          <w:highlight w:val="none"/>
          <w:u w:val="none"/>
        </w:rPr>
        <w:fldChar w:fldCharType="begin"/>
      </w:r>
      <w:r>
        <w:rPr>
          <w:color w:val="auto"/>
          <w:highlight w:val="none"/>
          <w:u w:val="none"/>
        </w:rPr>
        <w:instrText xml:space="preserve"> PAGEREF _Toc482974529 \h </w:instrText>
      </w:r>
      <w:r>
        <w:rPr>
          <w:color w:val="auto"/>
          <w:highlight w:val="none"/>
          <w:u w:val="none"/>
        </w:rPr>
        <w:fldChar w:fldCharType="separate"/>
      </w:r>
      <w:r>
        <w:rPr>
          <w:color w:val="auto"/>
          <w:highlight w:val="none"/>
          <w:u w:val="none"/>
        </w:rPr>
        <w:t>6</w:t>
      </w:r>
      <w:r>
        <w:rPr>
          <w:color w:val="auto"/>
          <w:highlight w:val="none"/>
          <w:u w:val="none"/>
        </w:rPr>
        <w:fldChar w:fldCharType="end"/>
      </w:r>
      <w:r>
        <w:rPr>
          <w:rStyle w:val="30"/>
          <w:color w:val="auto"/>
          <w:highlight w:val="none"/>
        </w:rPr>
        <w:fldChar w:fldCharType="end"/>
      </w:r>
    </w:p>
    <w:p>
      <w:pPr>
        <w:pStyle w:val="22"/>
        <w:tabs>
          <w:tab w:val="right" w:leader="dot" w:pos="8302"/>
        </w:tabs>
        <w:rPr>
          <w:rFonts w:asciiTheme="minorHAnsi" w:hAnsiTheme="minorHAnsi" w:eastAsiaTheme="minorEastAsia" w:cstheme="minorBidi"/>
          <w:b w:val="0"/>
          <w:bCs w:val="0"/>
          <w:caps w:val="0"/>
          <w:color w:val="auto"/>
          <w:sz w:val="21"/>
          <w:szCs w:val="22"/>
          <w:highlight w:val="none"/>
          <w:u w:val="none"/>
        </w:rPr>
      </w:pPr>
      <w:r>
        <w:rPr>
          <w:rStyle w:val="30"/>
          <w:color w:val="auto"/>
          <w:highlight w:val="none"/>
        </w:rPr>
        <w:fldChar w:fldCharType="begin"/>
      </w:r>
      <w:r>
        <w:rPr>
          <w:color w:val="auto"/>
          <w:highlight w:val="none"/>
          <w:u w:val="none"/>
        </w:rPr>
        <w:instrText xml:space="preserve">HYPERLINK \l "_Toc482974530"</w:instrText>
      </w:r>
      <w:r>
        <w:rPr>
          <w:rStyle w:val="30"/>
          <w:color w:val="auto"/>
          <w:highlight w:val="none"/>
        </w:rPr>
        <w:fldChar w:fldCharType="separate"/>
      </w:r>
      <w:r>
        <w:rPr>
          <w:rStyle w:val="30"/>
          <w:rFonts w:hint="eastAsia" w:ascii="楷体" w:hAnsi="楷体" w:eastAsia="楷体"/>
          <w:color w:val="auto"/>
          <w:highlight w:val="none"/>
        </w:rPr>
        <w:t>第六节基金的成立与备案</w:t>
      </w:r>
      <w:r>
        <w:rPr>
          <w:color w:val="auto"/>
          <w:highlight w:val="none"/>
          <w:u w:val="none"/>
        </w:rPr>
        <w:tab/>
      </w:r>
      <w:r>
        <w:rPr>
          <w:color w:val="auto"/>
          <w:highlight w:val="none"/>
          <w:u w:val="none"/>
        </w:rPr>
        <w:fldChar w:fldCharType="begin"/>
      </w:r>
      <w:r>
        <w:rPr>
          <w:color w:val="auto"/>
          <w:highlight w:val="none"/>
          <w:u w:val="none"/>
        </w:rPr>
        <w:instrText xml:space="preserve"> PAGEREF _Toc482974530 \h </w:instrText>
      </w:r>
      <w:r>
        <w:rPr>
          <w:color w:val="auto"/>
          <w:highlight w:val="none"/>
          <w:u w:val="none"/>
        </w:rPr>
        <w:fldChar w:fldCharType="separate"/>
      </w:r>
      <w:r>
        <w:rPr>
          <w:color w:val="auto"/>
          <w:highlight w:val="none"/>
          <w:u w:val="none"/>
        </w:rPr>
        <w:t>9</w:t>
      </w:r>
      <w:r>
        <w:rPr>
          <w:color w:val="auto"/>
          <w:highlight w:val="none"/>
          <w:u w:val="none"/>
        </w:rPr>
        <w:fldChar w:fldCharType="end"/>
      </w:r>
      <w:r>
        <w:rPr>
          <w:rStyle w:val="30"/>
          <w:color w:val="auto"/>
          <w:highlight w:val="none"/>
        </w:rPr>
        <w:fldChar w:fldCharType="end"/>
      </w:r>
    </w:p>
    <w:p>
      <w:pPr>
        <w:pStyle w:val="22"/>
        <w:tabs>
          <w:tab w:val="right" w:leader="dot" w:pos="8302"/>
        </w:tabs>
        <w:rPr>
          <w:rFonts w:asciiTheme="minorHAnsi" w:hAnsiTheme="minorHAnsi" w:eastAsiaTheme="minorEastAsia" w:cstheme="minorBidi"/>
          <w:b w:val="0"/>
          <w:bCs w:val="0"/>
          <w:caps w:val="0"/>
          <w:color w:val="auto"/>
          <w:sz w:val="21"/>
          <w:szCs w:val="22"/>
          <w:highlight w:val="none"/>
          <w:u w:val="none"/>
        </w:rPr>
      </w:pPr>
      <w:r>
        <w:rPr>
          <w:rStyle w:val="30"/>
          <w:color w:val="auto"/>
          <w:highlight w:val="none"/>
        </w:rPr>
        <w:fldChar w:fldCharType="begin"/>
      </w:r>
      <w:r>
        <w:rPr>
          <w:color w:val="auto"/>
          <w:highlight w:val="none"/>
          <w:u w:val="none"/>
        </w:rPr>
        <w:instrText xml:space="preserve">HYPERLINK \l "_Toc482974531"</w:instrText>
      </w:r>
      <w:r>
        <w:rPr>
          <w:rStyle w:val="30"/>
          <w:color w:val="auto"/>
          <w:highlight w:val="none"/>
        </w:rPr>
        <w:fldChar w:fldCharType="separate"/>
      </w:r>
      <w:r>
        <w:rPr>
          <w:rStyle w:val="30"/>
          <w:rFonts w:hint="eastAsia" w:ascii="楷体" w:hAnsi="楷体" w:eastAsia="楷体"/>
          <w:color w:val="auto"/>
          <w:highlight w:val="none"/>
        </w:rPr>
        <w:t>第七节基金的投资</w:t>
      </w:r>
      <w:r>
        <w:rPr>
          <w:color w:val="auto"/>
          <w:highlight w:val="none"/>
          <w:u w:val="none"/>
        </w:rPr>
        <w:tab/>
      </w:r>
      <w:r>
        <w:rPr>
          <w:color w:val="auto"/>
          <w:highlight w:val="none"/>
          <w:u w:val="none"/>
        </w:rPr>
        <w:fldChar w:fldCharType="begin"/>
      </w:r>
      <w:r>
        <w:rPr>
          <w:color w:val="auto"/>
          <w:highlight w:val="none"/>
          <w:u w:val="none"/>
        </w:rPr>
        <w:instrText xml:space="preserve"> PAGEREF _Toc482974531 \h </w:instrText>
      </w:r>
      <w:r>
        <w:rPr>
          <w:color w:val="auto"/>
          <w:highlight w:val="none"/>
          <w:u w:val="none"/>
        </w:rPr>
        <w:fldChar w:fldCharType="separate"/>
      </w:r>
      <w:r>
        <w:rPr>
          <w:color w:val="auto"/>
          <w:highlight w:val="none"/>
          <w:u w:val="none"/>
        </w:rPr>
        <w:t>10</w:t>
      </w:r>
      <w:r>
        <w:rPr>
          <w:color w:val="auto"/>
          <w:highlight w:val="none"/>
          <w:u w:val="none"/>
        </w:rPr>
        <w:fldChar w:fldCharType="end"/>
      </w:r>
      <w:r>
        <w:rPr>
          <w:rStyle w:val="30"/>
          <w:color w:val="auto"/>
          <w:highlight w:val="none"/>
        </w:rPr>
        <w:fldChar w:fldCharType="end"/>
      </w:r>
    </w:p>
    <w:p>
      <w:pPr>
        <w:pStyle w:val="22"/>
        <w:tabs>
          <w:tab w:val="right" w:leader="dot" w:pos="8302"/>
        </w:tabs>
        <w:rPr>
          <w:rFonts w:asciiTheme="minorHAnsi" w:hAnsiTheme="minorHAnsi" w:eastAsiaTheme="minorEastAsia" w:cstheme="minorBidi"/>
          <w:b w:val="0"/>
          <w:bCs w:val="0"/>
          <w:caps w:val="0"/>
          <w:color w:val="auto"/>
          <w:sz w:val="21"/>
          <w:szCs w:val="22"/>
          <w:highlight w:val="none"/>
          <w:u w:val="none"/>
        </w:rPr>
      </w:pPr>
      <w:r>
        <w:rPr>
          <w:rStyle w:val="30"/>
          <w:color w:val="auto"/>
          <w:highlight w:val="none"/>
        </w:rPr>
        <w:fldChar w:fldCharType="begin"/>
      </w:r>
      <w:r>
        <w:rPr>
          <w:color w:val="auto"/>
          <w:highlight w:val="none"/>
          <w:u w:val="none"/>
        </w:rPr>
        <w:instrText xml:space="preserve">HYPERLINK \l "_Toc482974532"</w:instrText>
      </w:r>
      <w:r>
        <w:rPr>
          <w:rStyle w:val="30"/>
          <w:color w:val="auto"/>
          <w:highlight w:val="none"/>
        </w:rPr>
        <w:fldChar w:fldCharType="separate"/>
      </w:r>
      <w:r>
        <w:rPr>
          <w:rStyle w:val="30"/>
          <w:rFonts w:hint="eastAsia" w:ascii="楷体" w:hAnsi="楷体" w:eastAsia="楷体"/>
          <w:color w:val="auto"/>
          <w:highlight w:val="none"/>
        </w:rPr>
        <w:t>第八节基金份额的申购、赎回</w:t>
      </w:r>
      <w:r>
        <w:rPr>
          <w:color w:val="auto"/>
          <w:highlight w:val="none"/>
          <w:u w:val="none"/>
        </w:rPr>
        <w:tab/>
      </w:r>
      <w:r>
        <w:rPr>
          <w:color w:val="auto"/>
          <w:highlight w:val="none"/>
          <w:u w:val="none"/>
        </w:rPr>
        <w:fldChar w:fldCharType="begin"/>
      </w:r>
      <w:r>
        <w:rPr>
          <w:color w:val="auto"/>
          <w:highlight w:val="none"/>
          <w:u w:val="none"/>
        </w:rPr>
        <w:instrText xml:space="preserve"> PAGEREF _Toc482974532 \h </w:instrText>
      </w:r>
      <w:r>
        <w:rPr>
          <w:color w:val="auto"/>
          <w:highlight w:val="none"/>
          <w:u w:val="none"/>
        </w:rPr>
        <w:fldChar w:fldCharType="separate"/>
      </w:r>
      <w:r>
        <w:rPr>
          <w:color w:val="auto"/>
          <w:highlight w:val="none"/>
          <w:u w:val="none"/>
        </w:rPr>
        <w:t>12</w:t>
      </w:r>
      <w:r>
        <w:rPr>
          <w:color w:val="auto"/>
          <w:highlight w:val="none"/>
          <w:u w:val="none"/>
        </w:rPr>
        <w:fldChar w:fldCharType="end"/>
      </w:r>
      <w:r>
        <w:rPr>
          <w:rStyle w:val="30"/>
          <w:color w:val="auto"/>
          <w:highlight w:val="none"/>
        </w:rPr>
        <w:fldChar w:fldCharType="end"/>
      </w:r>
    </w:p>
    <w:p>
      <w:pPr>
        <w:pStyle w:val="22"/>
        <w:tabs>
          <w:tab w:val="right" w:leader="dot" w:pos="8302"/>
        </w:tabs>
        <w:rPr>
          <w:rFonts w:asciiTheme="minorHAnsi" w:hAnsiTheme="minorHAnsi" w:eastAsiaTheme="minorEastAsia" w:cstheme="minorBidi"/>
          <w:b w:val="0"/>
          <w:bCs w:val="0"/>
          <w:caps w:val="0"/>
          <w:color w:val="auto"/>
          <w:sz w:val="21"/>
          <w:szCs w:val="22"/>
          <w:highlight w:val="none"/>
          <w:u w:val="none"/>
        </w:rPr>
      </w:pPr>
      <w:r>
        <w:rPr>
          <w:rStyle w:val="30"/>
          <w:color w:val="auto"/>
          <w:highlight w:val="none"/>
        </w:rPr>
        <w:fldChar w:fldCharType="begin"/>
      </w:r>
      <w:r>
        <w:rPr>
          <w:color w:val="auto"/>
          <w:highlight w:val="none"/>
          <w:u w:val="none"/>
        </w:rPr>
        <w:instrText xml:space="preserve">HYPERLINK \l "_Toc482974533"</w:instrText>
      </w:r>
      <w:r>
        <w:rPr>
          <w:rStyle w:val="30"/>
          <w:color w:val="auto"/>
          <w:highlight w:val="none"/>
        </w:rPr>
        <w:fldChar w:fldCharType="separate"/>
      </w:r>
      <w:r>
        <w:rPr>
          <w:rStyle w:val="30"/>
          <w:rFonts w:hint="eastAsia" w:ascii="楷体" w:hAnsi="楷体" w:eastAsia="楷体"/>
          <w:color w:val="auto"/>
          <w:highlight w:val="none"/>
        </w:rPr>
        <w:t>第九节投资冷静期及回访确认</w:t>
      </w:r>
      <w:r>
        <w:rPr>
          <w:color w:val="auto"/>
          <w:highlight w:val="none"/>
          <w:u w:val="none"/>
        </w:rPr>
        <w:tab/>
      </w:r>
      <w:r>
        <w:rPr>
          <w:color w:val="auto"/>
          <w:highlight w:val="none"/>
          <w:u w:val="none"/>
        </w:rPr>
        <w:fldChar w:fldCharType="begin"/>
      </w:r>
      <w:r>
        <w:rPr>
          <w:color w:val="auto"/>
          <w:highlight w:val="none"/>
          <w:u w:val="none"/>
        </w:rPr>
        <w:instrText xml:space="preserve"> PAGEREF _Toc482974533 \h </w:instrText>
      </w:r>
      <w:r>
        <w:rPr>
          <w:color w:val="auto"/>
          <w:highlight w:val="none"/>
          <w:u w:val="none"/>
        </w:rPr>
        <w:fldChar w:fldCharType="separate"/>
      </w:r>
      <w:r>
        <w:rPr>
          <w:color w:val="auto"/>
          <w:highlight w:val="none"/>
          <w:u w:val="none"/>
        </w:rPr>
        <w:t>16</w:t>
      </w:r>
      <w:r>
        <w:rPr>
          <w:color w:val="auto"/>
          <w:highlight w:val="none"/>
          <w:u w:val="none"/>
        </w:rPr>
        <w:fldChar w:fldCharType="end"/>
      </w:r>
      <w:r>
        <w:rPr>
          <w:rStyle w:val="30"/>
          <w:color w:val="auto"/>
          <w:highlight w:val="none"/>
        </w:rPr>
        <w:fldChar w:fldCharType="end"/>
      </w:r>
    </w:p>
    <w:p>
      <w:pPr>
        <w:pStyle w:val="22"/>
        <w:tabs>
          <w:tab w:val="right" w:leader="dot" w:pos="8302"/>
        </w:tabs>
        <w:rPr>
          <w:rFonts w:asciiTheme="minorHAnsi" w:hAnsiTheme="minorHAnsi" w:eastAsiaTheme="minorEastAsia" w:cstheme="minorBidi"/>
          <w:b w:val="0"/>
          <w:bCs w:val="0"/>
          <w:caps w:val="0"/>
          <w:color w:val="auto"/>
          <w:sz w:val="21"/>
          <w:szCs w:val="22"/>
          <w:highlight w:val="none"/>
          <w:u w:val="none"/>
        </w:rPr>
      </w:pPr>
      <w:r>
        <w:rPr>
          <w:rStyle w:val="30"/>
          <w:color w:val="auto"/>
          <w:highlight w:val="none"/>
        </w:rPr>
        <w:fldChar w:fldCharType="begin"/>
      </w:r>
      <w:r>
        <w:rPr>
          <w:color w:val="auto"/>
          <w:highlight w:val="none"/>
          <w:u w:val="none"/>
        </w:rPr>
        <w:instrText xml:space="preserve">HYPERLINK \l "_Toc482974534"</w:instrText>
      </w:r>
      <w:r>
        <w:rPr>
          <w:rStyle w:val="30"/>
          <w:color w:val="auto"/>
          <w:highlight w:val="none"/>
        </w:rPr>
        <w:fldChar w:fldCharType="separate"/>
      </w:r>
      <w:r>
        <w:rPr>
          <w:rStyle w:val="30"/>
          <w:rFonts w:hint="eastAsia" w:ascii="楷体" w:hAnsi="楷体" w:eastAsia="楷体"/>
          <w:color w:val="auto"/>
          <w:highlight w:val="none"/>
        </w:rPr>
        <w:t>第十节当事人及权利义务</w:t>
      </w:r>
      <w:r>
        <w:rPr>
          <w:color w:val="auto"/>
          <w:highlight w:val="none"/>
          <w:u w:val="none"/>
        </w:rPr>
        <w:tab/>
      </w:r>
      <w:r>
        <w:rPr>
          <w:color w:val="auto"/>
          <w:highlight w:val="none"/>
          <w:u w:val="none"/>
        </w:rPr>
        <w:fldChar w:fldCharType="begin"/>
      </w:r>
      <w:r>
        <w:rPr>
          <w:color w:val="auto"/>
          <w:highlight w:val="none"/>
          <w:u w:val="none"/>
        </w:rPr>
        <w:instrText xml:space="preserve"> PAGEREF _Toc482974534 \h </w:instrText>
      </w:r>
      <w:r>
        <w:rPr>
          <w:color w:val="auto"/>
          <w:highlight w:val="none"/>
          <w:u w:val="none"/>
        </w:rPr>
        <w:fldChar w:fldCharType="separate"/>
      </w:r>
      <w:r>
        <w:rPr>
          <w:color w:val="auto"/>
          <w:highlight w:val="none"/>
          <w:u w:val="none"/>
        </w:rPr>
        <w:t>17</w:t>
      </w:r>
      <w:r>
        <w:rPr>
          <w:color w:val="auto"/>
          <w:highlight w:val="none"/>
          <w:u w:val="none"/>
        </w:rPr>
        <w:fldChar w:fldCharType="end"/>
      </w:r>
      <w:r>
        <w:rPr>
          <w:rStyle w:val="30"/>
          <w:color w:val="auto"/>
          <w:highlight w:val="none"/>
        </w:rPr>
        <w:fldChar w:fldCharType="end"/>
      </w:r>
    </w:p>
    <w:p>
      <w:pPr>
        <w:pStyle w:val="22"/>
        <w:tabs>
          <w:tab w:val="right" w:leader="dot" w:pos="8302"/>
        </w:tabs>
        <w:rPr>
          <w:rFonts w:asciiTheme="minorHAnsi" w:hAnsiTheme="minorHAnsi" w:eastAsiaTheme="minorEastAsia" w:cstheme="minorBidi"/>
          <w:b w:val="0"/>
          <w:bCs w:val="0"/>
          <w:caps w:val="0"/>
          <w:color w:val="auto"/>
          <w:sz w:val="21"/>
          <w:szCs w:val="22"/>
          <w:highlight w:val="none"/>
          <w:u w:val="none"/>
        </w:rPr>
      </w:pPr>
      <w:r>
        <w:rPr>
          <w:rStyle w:val="30"/>
          <w:color w:val="auto"/>
          <w:highlight w:val="none"/>
        </w:rPr>
        <w:fldChar w:fldCharType="begin"/>
      </w:r>
      <w:r>
        <w:rPr>
          <w:color w:val="auto"/>
          <w:highlight w:val="none"/>
          <w:u w:val="none"/>
        </w:rPr>
        <w:instrText xml:space="preserve">HYPERLINK \l "_Toc482974535"</w:instrText>
      </w:r>
      <w:r>
        <w:rPr>
          <w:rStyle w:val="30"/>
          <w:color w:val="auto"/>
          <w:highlight w:val="none"/>
        </w:rPr>
        <w:fldChar w:fldCharType="separate"/>
      </w:r>
      <w:r>
        <w:rPr>
          <w:rStyle w:val="30"/>
          <w:rFonts w:hint="eastAsia" w:ascii="楷体" w:hAnsi="楷体" w:eastAsia="楷体"/>
          <w:color w:val="auto"/>
          <w:highlight w:val="none"/>
        </w:rPr>
        <w:t>第十一节基金份额持有人大会</w:t>
      </w:r>
      <w:r>
        <w:rPr>
          <w:color w:val="auto"/>
          <w:highlight w:val="none"/>
          <w:u w:val="none"/>
        </w:rPr>
        <w:tab/>
      </w:r>
      <w:r>
        <w:rPr>
          <w:color w:val="auto"/>
          <w:highlight w:val="none"/>
          <w:u w:val="none"/>
        </w:rPr>
        <w:fldChar w:fldCharType="begin"/>
      </w:r>
      <w:r>
        <w:rPr>
          <w:color w:val="auto"/>
          <w:highlight w:val="none"/>
          <w:u w:val="none"/>
        </w:rPr>
        <w:instrText xml:space="preserve"> PAGEREF _Toc482974535 \h </w:instrText>
      </w:r>
      <w:r>
        <w:rPr>
          <w:color w:val="auto"/>
          <w:highlight w:val="none"/>
          <w:u w:val="none"/>
        </w:rPr>
        <w:fldChar w:fldCharType="separate"/>
      </w:r>
      <w:r>
        <w:rPr>
          <w:color w:val="auto"/>
          <w:highlight w:val="none"/>
          <w:u w:val="none"/>
        </w:rPr>
        <w:t>22</w:t>
      </w:r>
      <w:r>
        <w:rPr>
          <w:color w:val="auto"/>
          <w:highlight w:val="none"/>
          <w:u w:val="none"/>
        </w:rPr>
        <w:fldChar w:fldCharType="end"/>
      </w:r>
      <w:r>
        <w:rPr>
          <w:rStyle w:val="30"/>
          <w:color w:val="auto"/>
          <w:highlight w:val="none"/>
        </w:rPr>
        <w:fldChar w:fldCharType="end"/>
      </w:r>
    </w:p>
    <w:p>
      <w:pPr>
        <w:pStyle w:val="22"/>
        <w:tabs>
          <w:tab w:val="right" w:leader="dot" w:pos="8302"/>
        </w:tabs>
        <w:rPr>
          <w:rFonts w:asciiTheme="minorHAnsi" w:hAnsiTheme="minorHAnsi" w:eastAsiaTheme="minorEastAsia" w:cstheme="minorBidi"/>
          <w:b w:val="0"/>
          <w:bCs w:val="0"/>
          <w:caps w:val="0"/>
          <w:color w:val="auto"/>
          <w:sz w:val="21"/>
          <w:szCs w:val="22"/>
          <w:highlight w:val="none"/>
          <w:u w:val="none"/>
        </w:rPr>
      </w:pPr>
      <w:r>
        <w:rPr>
          <w:rStyle w:val="30"/>
          <w:color w:val="auto"/>
          <w:highlight w:val="none"/>
        </w:rPr>
        <w:fldChar w:fldCharType="begin"/>
      </w:r>
      <w:r>
        <w:rPr>
          <w:color w:val="auto"/>
          <w:highlight w:val="none"/>
          <w:u w:val="none"/>
        </w:rPr>
        <w:instrText xml:space="preserve">HYPERLINK \l "_Toc482974536"</w:instrText>
      </w:r>
      <w:r>
        <w:rPr>
          <w:rStyle w:val="30"/>
          <w:color w:val="auto"/>
          <w:highlight w:val="none"/>
        </w:rPr>
        <w:fldChar w:fldCharType="separate"/>
      </w:r>
      <w:r>
        <w:rPr>
          <w:rStyle w:val="30"/>
          <w:rFonts w:hint="eastAsia" w:ascii="楷体" w:hAnsi="楷体" w:eastAsia="楷体"/>
          <w:color w:val="auto"/>
          <w:highlight w:val="none"/>
        </w:rPr>
        <w:t>第十二节基金份额的登记、转让和非交易过户</w:t>
      </w:r>
      <w:r>
        <w:rPr>
          <w:color w:val="auto"/>
          <w:highlight w:val="none"/>
          <w:u w:val="none"/>
        </w:rPr>
        <w:tab/>
      </w:r>
      <w:r>
        <w:rPr>
          <w:color w:val="auto"/>
          <w:highlight w:val="none"/>
          <w:u w:val="none"/>
        </w:rPr>
        <w:fldChar w:fldCharType="begin"/>
      </w:r>
      <w:r>
        <w:rPr>
          <w:color w:val="auto"/>
          <w:highlight w:val="none"/>
          <w:u w:val="none"/>
        </w:rPr>
        <w:instrText xml:space="preserve"> PAGEREF _Toc482974536 \h </w:instrText>
      </w:r>
      <w:r>
        <w:rPr>
          <w:color w:val="auto"/>
          <w:highlight w:val="none"/>
          <w:u w:val="none"/>
        </w:rPr>
        <w:fldChar w:fldCharType="separate"/>
      </w:r>
      <w:r>
        <w:rPr>
          <w:color w:val="auto"/>
          <w:highlight w:val="none"/>
          <w:u w:val="none"/>
        </w:rPr>
        <w:t>26</w:t>
      </w:r>
      <w:r>
        <w:rPr>
          <w:color w:val="auto"/>
          <w:highlight w:val="none"/>
          <w:u w:val="none"/>
        </w:rPr>
        <w:fldChar w:fldCharType="end"/>
      </w:r>
      <w:r>
        <w:rPr>
          <w:rStyle w:val="30"/>
          <w:color w:val="auto"/>
          <w:highlight w:val="none"/>
        </w:rPr>
        <w:fldChar w:fldCharType="end"/>
      </w:r>
    </w:p>
    <w:p>
      <w:pPr>
        <w:pStyle w:val="22"/>
        <w:tabs>
          <w:tab w:val="right" w:leader="dot" w:pos="8302"/>
        </w:tabs>
        <w:rPr>
          <w:rFonts w:asciiTheme="minorHAnsi" w:hAnsiTheme="minorHAnsi" w:eastAsiaTheme="minorEastAsia" w:cstheme="minorBidi"/>
          <w:b w:val="0"/>
          <w:bCs w:val="0"/>
          <w:caps w:val="0"/>
          <w:color w:val="auto"/>
          <w:sz w:val="21"/>
          <w:szCs w:val="22"/>
          <w:highlight w:val="none"/>
          <w:u w:val="none"/>
        </w:rPr>
      </w:pPr>
      <w:r>
        <w:rPr>
          <w:rStyle w:val="30"/>
          <w:color w:val="auto"/>
          <w:highlight w:val="none"/>
        </w:rPr>
        <w:fldChar w:fldCharType="begin"/>
      </w:r>
      <w:r>
        <w:rPr>
          <w:color w:val="auto"/>
          <w:highlight w:val="none"/>
          <w:u w:val="none"/>
        </w:rPr>
        <w:instrText xml:space="preserve">HYPERLINK \l "_Toc482974537"</w:instrText>
      </w:r>
      <w:r>
        <w:rPr>
          <w:rStyle w:val="30"/>
          <w:color w:val="auto"/>
          <w:highlight w:val="none"/>
        </w:rPr>
        <w:fldChar w:fldCharType="separate"/>
      </w:r>
      <w:r>
        <w:rPr>
          <w:rStyle w:val="30"/>
          <w:rFonts w:hint="eastAsia" w:ascii="楷体" w:hAnsi="楷体" w:eastAsia="楷体"/>
          <w:color w:val="auto"/>
          <w:highlight w:val="none"/>
        </w:rPr>
        <w:t>第十三节基金的财产</w:t>
      </w:r>
      <w:r>
        <w:rPr>
          <w:color w:val="auto"/>
          <w:highlight w:val="none"/>
          <w:u w:val="none"/>
        </w:rPr>
        <w:tab/>
      </w:r>
      <w:r>
        <w:rPr>
          <w:color w:val="auto"/>
          <w:highlight w:val="none"/>
          <w:u w:val="none"/>
        </w:rPr>
        <w:fldChar w:fldCharType="begin"/>
      </w:r>
      <w:r>
        <w:rPr>
          <w:color w:val="auto"/>
          <w:highlight w:val="none"/>
          <w:u w:val="none"/>
        </w:rPr>
        <w:instrText xml:space="preserve"> PAGEREF _Toc482974537 \h </w:instrText>
      </w:r>
      <w:r>
        <w:rPr>
          <w:color w:val="auto"/>
          <w:highlight w:val="none"/>
          <w:u w:val="none"/>
        </w:rPr>
        <w:fldChar w:fldCharType="separate"/>
      </w:r>
      <w:r>
        <w:rPr>
          <w:color w:val="auto"/>
          <w:highlight w:val="none"/>
          <w:u w:val="none"/>
        </w:rPr>
        <w:t>27</w:t>
      </w:r>
      <w:r>
        <w:rPr>
          <w:color w:val="auto"/>
          <w:highlight w:val="none"/>
          <w:u w:val="none"/>
        </w:rPr>
        <w:fldChar w:fldCharType="end"/>
      </w:r>
      <w:r>
        <w:rPr>
          <w:rStyle w:val="30"/>
          <w:color w:val="auto"/>
          <w:highlight w:val="none"/>
        </w:rPr>
        <w:fldChar w:fldCharType="end"/>
      </w:r>
    </w:p>
    <w:p>
      <w:pPr>
        <w:pStyle w:val="22"/>
        <w:tabs>
          <w:tab w:val="right" w:leader="dot" w:pos="8302"/>
        </w:tabs>
        <w:rPr>
          <w:rFonts w:asciiTheme="minorHAnsi" w:hAnsiTheme="minorHAnsi" w:eastAsiaTheme="minorEastAsia" w:cstheme="minorBidi"/>
          <w:b w:val="0"/>
          <w:bCs w:val="0"/>
          <w:caps w:val="0"/>
          <w:color w:val="auto"/>
          <w:sz w:val="21"/>
          <w:szCs w:val="22"/>
          <w:highlight w:val="none"/>
          <w:u w:val="none"/>
        </w:rPr>
      </w:pPr>
      <w:r>
        <w:rPr>
          <w:rStyle w:val="30"/>
          <w:color w:val="auto"/>
          <w:highlight w:val="none"/>
        </w:rPr>
        <w:fldChar w:fldCharType="begin"/>
      </w:r>
      <w:r>
        <w:rPr>
          <w:color w:val="auto"/>
          <w:highlight w:val="none"/>
          <w:u w:val="none"/>
        </w:rPr>
        <w:instrText xml:space="preserve">HYPERLINK \l "_Toc482974538"</w:instrText>
      </w:r>
      <w:r>
        <w:rPr>
          <w:rStyle w:val="30"/>
          <w:color w:val="auto"/>
          <w:highlight w:val="none"/>
        </w:rPr>
        <w:fldChar w:fldCharType="separate"/>
      </w:r>
      <w:r>
        <w:rPr>
          <w:rStyle w:val="30"/>
          <w:rFonts w:hint="eastAsia" w:ascii="楷体" w:hAnsi="楷体" w:eastAsia="楷体"/>
          <w:color w:val="auto"/>
          <w:highlight w:val="none"/>
        </w:rPr>
        <w:t>第十四节划款指令的发送、确认与执行</w:t>
      </w:r>
      <w:r>
        <w:rPr>
          <w:color w:val="auto"/>
          <w:highlight w:val="none"/>
          <w:u w:val="none"/>
        </w:rPr>
        <w:tab/>
      </w:r>
      <w:r>
        <w:rPr>
          <w:color w:val="auto"/>
          <w:highlight w:val="none"/>
          <w:u w:val="none"/>
        </w:rPr>
        <w:fldChar w:fldCharType="begin"/>
      </w:r>
      <w:r>
        <w:rPr>
          <w:color w:val="auto"/>
          <w:highlight w:val="none"/>
          <w:u w:val="none"/>
        </w:rPr>
        <w:instrText xml:space="preserve"> PAGEREF _Toc482974538 \h </w:instrText>
      </w:r>
      <w:r>
        <w:rPr>
          <w:color w:val="auto"/>
          <w:highlight w:val="none"/>
          <w:u w:val="none"/>
        </w:rPr>
        <w:fldChar w:fldCharType="separate"/>
      </w:r>
      <w:r>
        <w:rPr>
          <w:color w:val="auto"/>
          <w:highlight w:val="none"/>
          <w:u w:val="none"/>
        </w:rPr>
        <w:t>29</w:t>
      </w:r>
      <w:r>
        <w:rPr>
          <w:color w:val="auto"/>
          <w:highlight w:val="none"/>
          <w:u w:val="none"/>
        </w:rPr>
        <w:fldChar w:fldCharType="end"/>
      </w:r>
      <w:r>
        <w:rPr>
          <w:rStyle w:val="30"/>
          <w:color w:val="auto"/>
          <w:highlight w:val="none"/>
        </w:rPr>
        <w:fldChar w:fldCharType="end"/>
      </w:r>
    </w:p>
    <w:p>
      <w:pPr>
        <w:pStyle w:val="22"/>
        <w:tabs>
          <w:tab w:val="right" w:leader="dot" w:pos="8302"/>
        </w:tabs>
        <w:rPr>
          <w:rFonts w:asciiTheme="minorHAnsi" w:hAnsiTheme="minorHAnsi" w:eastAsiaTheme="minorEastAsia" w:cstheme="minorBidi"/>
          <w:b w:val="0"/>
          <w:bCs w:val="0"/>
          <w:caps w:val="0"/>
          <w:color w:val="auto"/>
          <w:sz w:val="21"/>
          <w:szCs w:val="22"/>
          <w:highlight w:val="none"/>
          <w:u w:val="none"/>
        </w:rPr>
      </w:pPr>
      <w:r>
        <w:rPr>
          <w:rStyle w:val="30"/>
          <w:color w:val="auto"/>
          <w:highlight w:val="none"/>
        </w:rPr>
        <w:fldChar w:fldCharType="begin"/>
      </w:r>
      <w:r>
        <w:rPr>
          <w:color w:val="auto"/>
          <w:highlight w:val="none"/>
          <w:u w:val="none"/>
        </w:rPr>
        <w:instrText xml:space="preserve">HYPERLINK \l "_Toc482974539"</w:instrText>
      </w:r>
      <w:r>
        <w:rPr>
          <w:rStyle w:val="30"/>
          <w:color w:val="auto"/>
          <w:highlight w:val="none"/>
        </w:rPr>
        <w:fldChar w:fldCharType="separate"/>
      </w:r>
      <w:r>
        <w:rPr>
          <w:rStyle w:val="30"/>
          <w:rFonts w:hint="eastAsia" w:ascii="楷体" w:hAnsi="楷体" w:eastAsia="楷体"/>
          <w:color w:val="auto"/>
          <w:highlight w:val="none"/>
        </w:rPr>
        <w:t>第十五节交易及清算交收安排</w:t>
      </w:r>
      <w:r>
        <w:rPr>
          <w:color w:val="auto"/>
          <w:highlight w:val="none"/>
          <w:u w:val="none"/>
        </w:rPr>
        <w:tab/>
      </w:r>
      <w:r>
        <w:rPr>
          <w:color w:val="auto"/>
          <w:highlight w:val="none"/>
          <w:u w:val="none"/>
        </w:rPr>
        <w:fldChar w:fldCharType="begin"/>
      </w:r>
      <w:r>
        <w:rPr>
          <w:color w:val="auto"/>
          <w:highlight w:val="none"/>
          <w:u w:val="none"/>
        </w:rPr>
        <w:instrText xml:space="preserve"> PAGEREF _Toc482974539 \h </w:instrText>
      </w:r>
      <w:r>
        <w:rPr>
          <w:color w:val="auto"/>
          <w:highlight w:val="none"/>
          <w:u w:val="none"/>
        </w:rPr>
        <w:fldChar w:fldCharType="separate"/>
      </w:r>
      <w:r>
        <w:rPr>
          <w:color w:val="auto"/>
          <w:highlight w:val="none"/>
          <w:u w:val="none"/>
        </w:rPr>
        <w:t>31</w:t>
      </w:r>
      <w:r>
        <w:rPr>
          <w:color w:val="auto"/>
          <w:highlight w:val="none"/>
          <w:u w:val="none"/>
        </w:rPr>
        <w:fldChar w:fldCharType="end"/>
      </w:r>
      <w:r>
        <w:rPr>
          <w:rStyle w:val="30"/>
          <w:color w:val="auto"/>
          <w:highlight w:val="none"/>
        </w:rPr>
        <w:fldChar w:fldCharType="end"/>
      </w:r>
    </w:p>
    <w:p>
      <w:pPr>
        <w:pStyle w:val="22"/>
        <w:tabs>
          <w:tab w:val="right" w:leader="dot" w:pos="8302"/>
        </w:tabs>
        <w:rPr>
          <w:rFonts w:asciiTheme="minorHAnsi" w:hAnsiTheme="minorHAnsi" w:eastAsiaTheme="minorEastAsia" w:cstheme="minorBidi"/>
          <w:b w:val="0"/>
          <w:bCs w:val="0"/>
          <w:caps w:val="0"/>
          <w:color w:val="auto"/>
          <w:sz w:val="21"/>
          <w:szCs w:val="22"/>
          <w:highlight w:val="none"/>
          <w:u w:val="none"/>
        </w:rPr>
      </w:pPr>
      <w:r>
        <w:rPr>
          <w:rStyle w:val="30"/>
          <w:color w:val="auto"/>
          <w:highlight w:val="none"/>
        </w:rPr>
        <w:fldChar w:fldCharType="begin"/>
      </w:r>
      <w:r>
        <w:rPr>
          <w:color w:val="auto"/>
          <w:highlight w:val="none"/>
          <w:u w:val="none"/>
        </w:rPr>
        <w:instrText xml:space="preserve">HYPERLINK \l "_Toc482974540"</w:instrText>
      </w:r>
      <w:r>
        <w:rPr>
          <w:rStyle w:val="30"/>
          <w:color w:val="auto"/>
          <w:highlight w:val="none"/>
        </w:rPr>
        <w:fldChar w:fldCharType="separate"/>
      </w:r>
      <w:r>
        <w:rPr>
          <w:rStyle w:val="30"/>
          <w:rFonts w:hint="eastAsia" w:ascii="楷体" w:hAnsi="楷体" w:eastAsia="楷体"/>
          <w:color w:val="auto"/>
          <w:highlight w:val="none"/>
        </w:rPr>
        <w:t>第十六节托管人的监督职责</w:t>
      </w:r>
      <w:r>
        <w:rPr>
          <w:color w:val="auto"/>
          <w:highlight w:val="none"/>
          <w:u w:val="none"/>
        </w:rPr>
        <w:tab/>
      </w:r>
      <w:r>
        <w:rPr>
          <w:color w:val="auto"/>
          <w:highlight w:val="none"/>
          <w:u w:val="none"/>
        </w:rPr>
        <w:fldChar w:fldCharType="begin"/>
      </w:r>
      <w:r>
        <w:rPr>
          <w:color w:val="auto"/>
          <w:highlight w:val="none"/>
          <w:u w:val="none"/>
        </w:rPr>
        <w:instrText xml:space="preserve"> PAGEREF _Toc482974540 \h </w:instrText>
      </w:r>
      <w:r>
        <w:rPr>
          <w:color w:val="auto"/>
          <w:highlight w:val="none"/>
          <w:u w:val="none"/>
        </w:rPr>
        <w:fldChar w:fldCharType="separate"/>
      </w:r>
      <w:r>
        <w:rPr>
          <w:color w:val="auto"/>
          <w:highlight w:val="none"/>
          <w:u w:val="none"/>
        </w:rPr>
        <w:t>34</w:t>
      </w:r>
      <w:r>
        <w:rPr>
          <w:color w:val="auto"/>
          <w:highlight w:val="none"/>
          <w:u w:val="none"/>
        </w:rPr>
        <w:fldChar w:fldCharType="end"/>
      </w:r>
      <w:r>
        <w:rPr>
          <w:rStyle w:val="30"/>
          <w:color w:val="auto"/>
          <w:highlight w:val="none"/>
        </w:rPr>
        <w:fldChar w:fldCharType="end"/>
      </w:r>
    </w:p>
    <w:p>
      <w:pPr>
        <w:pStyle w:val="22"/>
        <w:tabs>
          <w:tab w:val="right" w:leader="dot" w:pos="8302"/>
        </w:tabs>
        <w:rPr>
          <w:rFonts w:asciiTheme="minorHAnsi" w:hAnsiTheme="minorHAnsi" w:eastAsiaTheme="minorEastAsia" w:cstheme="minorBidi"/>
          <w:b w:val="0"/>
          <w:bCs w:val="0"/>
          <w:caps w:val="0"/>
          <w:color w:val="auto"/>
          <w:sz w:val="21"/>
          <w:szCs w:val="22"/>
          <w:highlight w:val="none"/>
          <w:u w:val="none"/>
        </w:rPr>
      </w:pPr>
      <w:r>
        <w:rPr>
          <w:rStyle w:val="30"/>
          <w:color w:val="auto"/>
          <w:highlight w:val="none"/>
        </w:rPr>
        <w:fldChar w:fldCharType="begin"/>
      </w:r>
      <w:r>
        <w:rPr>
          <w:color w:val="auto"/>
          <w:highlight w:val="none"/>
          <w:u w:val="none"/>
        </w:rPr>
        <w:instrText xml:space="preserve">HYPERLINK \l "_Toc482974541"</w:instrText>
      </w:r>
      <w:r>
        <w:rPr>
          <w:rStyle w:val="30"/>
          <w:color w:val="auto"/>
          <w:highlight w:val="none"/>
        </w:rPr>
        <w:fldChar w:fldCharType="separate"/>
      </w:r>
      <w:r>
        <w:rPr>
          <w:rStyle w:val="30"/>
          <w:rFonts w:hint="eastAsia" w:ascii="楷体" w:hAnsi="楷体" w:eastAsia="楷体"/>
          <w:color w:val="auto"/>
          <w:highlight w:val="none"/>
        </w:rPr>
        <w:t>第十七节基金财产的估值和会计核算</w:t>
      </w:r>
      <w:r>
        <w:rPr>
          <w:color w:val="auto"/>
          <w:highlight w:val="none"/>
          <w:u w:val="none"/>
        </w:rPr>
        <w:tab/>
      </w:r>
      <w:r>
        <w:rPr>
          <w:color w:val="auto"/>
          <w:highlight w:val="none"/>
          <w:u w:val="none"/>
        </w:rPr>
        <w:fldChar w:fldCharType="begin"/>
      </w:r>
      <w:r>
        <w:rPr>
          <w:color w:val="auto"/>
          <w:highlight w:val="none"/>
          <w:u w:val="none"/>
        </w:rPr>
        <w:instrText xml:space="preserve"> PAGEREF _Toc482974541 \h </w:instrText>
      </w:r>
      <w:r>
        <w:rPr>
          <w:color w:val="auto"/>
          <w:highlight w:val="none"/>
          <w:u w:val="none"/>
        </w:rPr>
        <w:fldChar w:fldCharType="separate"/>
      </w:r>
      <w:r>
        <w:rPr>
          <w:color w:val="auto"/>
          <w:highlight w:val="none"/>
          <w:u w:val="none"/>
        </w:rPr>
        <w:t>35</w:t>
      </w:r>
      <w:r>
        <w:rPr>
          <w:color w:val="auto"/>
          <w:highlight w:val="none"/>
          <w:u w:val="none"/>
        </w:rPr>
        <w:fldChar w:fldCharType="end"/>
      </w:r>
      <w:r>
        <w:rPr>
          <w:rStyle w:val="30"/>
          <w:color w:val="auto"/>
          <w:highlight w:val="none"/>
        </w:rPr>
        <w:fldChar w:fldCharType="end"/>
      </w:r>
    </w:p>
    <w:p>
      <w:pPr>
        <w:pStyle w:val="22"/>
        <w:tabs>
          <w:tab w:val="right" w:leader="dot" w:pos="8302"/>
        </w:tabs>
        <w:rPr>
          <w:rFonts w:asciiTheme="minorHAnsi" w:hAnsiTheme="minorHAnsi" w:eastAsiaTheme="minorEastAsia" w:cstheme="minorBidi"/>
          <w:b w:val="0"/>
          <w:bCs w:val="0"/>
          <w:caps w:val="0"/>
          <w:color w:val="auto"/>
          <w:sz w:val="21"/>
          <w:szCs w:val="22"/>
          <w:highlight w:val="none"/>
          <w:u w:val="none"/>
        </w:rPr>
      </w:pPr>
      <w:r>
        <w:rPr>
          <w:rStyle w:val="30"/>
          <w:color w:val="auto"/>
          <w:highlight w:val="none"/>
        </w:rPr>
        <w:fldChar w:fldCharType="begin"/>
      </w:r>
      <w:r>
        <w:rPr>
          <w:color w:val="auto"/>
          <w:highlight w:val="none"/>
          <w:u w:val="none"/>
        </w:rPr>
        <w:instrText xml:space="preserve">HYPERLINK \l "_Toc482974542"</w:instrText>
      </w:r>
      <w:r>
        <w:rPr>
          <w:rStyle w:val="30"/>
          <w:color w:val="auto"/>
          <w:highlight w:val="none"/>
        </w:rPr>
        <w:fldChar w:fldCharType="separate"/>
      </w:r>
      <w:r>
        <w:rPr>
          <w:rStyle w:val="30"/>
          <w:rFonts w:hint="eastAsia" w:ascii="楷体" w:hAnsi="楷体" w:eastAsia="楷体"/>
          <w:color w:val="auto"/>
          <w:highlight w:val="none"/>
        </w:rPr>
        <w:t>第十八节基金的费用与税收</w:t>
      </w:r>
      <w:r>
        <w:rPr>
          <w:color w:val="auto"/>
          <w:highlight w:val="none"/>
          <w:u w:val="none"/>
        </w:rPr>
        <w:tab/>
      </w:r>
      <w:r>
        <w:rPr>
          <w:color w:val="auto"/>
          <w:highlight w:val="none"/>
          <w:u w:val="none"/>
        </w:rPr>
        <w:fldChar w:fldCharType="begin"/>
      </w:r>
      <w:r>
        <w:rPr>
          <w:color w:val="auto"/>
          <w:highlight w:val="none"/>
          <w:u w:val="none"/>
        </w:rPr>
        <w:instrText xml:space="preserve"> PAGEREF _Toc482974542 \h </w:instrText>
      </w:r>
      <w:r>
        <w:rPr>
          <w:color w:val="auto"/>
          <w:highlight w:val="none"/>
          <w:u w:val="none"/>
        </w:rPr>
        <w:fldChar w:fldCharType="separate"/>
      </w:r>
      <w:r>
        <w:rPr>
          <w:color w:val="auto"/>
          <w:highlight w:val="none"/>
          <w:u w:val="none"/>
        </w:rPr>
        <w:t>38</w:t>
      </w:r>
      <w:r>
        <w:rPr>
          <w:color w:val="auto"/>
          <w:highlight w:val="none"/>
          <w:u w:val="none"/>
        </w:rPr>
        <w:fldChar w:fldCharType="end"/>
      </w:r>
      <w:r>
        <w:rPr>
          <w:rStyle w:val="30"/>
          <w:color w:val="auto"/>
          <w:highlight w:val="none"/>
        </w:rPr>
        <w:fldChar w:fldCharType="end"/>
      </w:r>
    </w:p>
    <w:p>
      <w:pPr>
        <w:pStyle w:val="22"/>
        <w:tabs>
          <w:tab w:val="right" w:leader="dot" w:pos="8302"/>
        </w:tabs>
        <w:rPr>
          <w:rFonts w:asciiTheme="minorHAnsi" w:hAnsiTheme="minorHAnsi" w:eastAsiaTheme="minorEastAsia" w:cstheme="minorBidi"/>
          <w:b w:val="0"/>
          <w:bCs w:val="0"/>
          <w:caps w:val="0"/>
          <w:color w:val="auto"/>
          <w:sz w:val="21"/>
          <w:szCs w:val="22"/>
          <w:highlight w:val="none"/>
          <w:u w:val="none"/>
        </w:rPr>
      </w:pPr>
      <w:r>
        <w:rPr>
          <w:rStyle w:val="30"/>
          <w:color w:val="auto"/>
          <w:highlight w:val="none"/>
        </w:rPr>
        <w:fldChar w:fldCharType="begin"/>
      </w:r>
      <w:r>
        <w:rPr>
          <w:color w:val="auto"/>
          <w:highlight w:val="none"/>
          <w:u w:val="none"/>
        </w:rPr>
        <w:instrText xml:space="preserve">HYPERLINK \l "_Toc482974543"</w:instrText>
      </w:r>
      <w:r>
        <w:rPr>
          <w:rStyle w:val="30"/>
          <w:color w:val="auto"/>
          <w:highlight w:val="none"/>
        </w:rPr>
        <w:fldChar w:fldCharType="separate"/>
      </w:r>
      <w:r>
        <w:rPr>
          <w:rStyle w:val="30"/>
          <w:rFonts w:hint="eastAsia" w:ascii="楷体" w:hAnsi="楷体" w:eastAsia="楷体"/>
          <w:color w:val="auto"/>
          <w:highlight w:val="none"/>
        </w:rPr>
        <w:t>第十九节基金的收益分配</w:t>
      </w:r>
      <w:r>
        <w:rPr>
          <w:color w:val="auto"/>
          <w:highlight w:val="none"/>
          <w:u w:val="none"/>
        </w:rPr>
        <w:tab/>
      </w:r>
      <w:r>
        <w:rPr>
          <w:color w:val="auto"/>
          <w:highlight w:val="none"/>
          <w:u w:val="none"/>
        </w:rPr>
        <w:fldChar w:fldCharType="begin"/>
      </w:r>
      <w:r>
        <w:rPr>
          <w:color w:val="auto"/>
          <w:highlight w:val="none"/>
          <w:u w:val="none"/>
        </w:rPr>
        <w:instrText xml:space="preserve"> PAGEREF _Toc482974543 \h </w:instrText>
      </w:r>
      <w:r>
        <w:rPr>
          <w:color w:val="auto"/>
          <w:highlight w:val="none"/>
          <w:u w:val="none"/>
        </w:rPr>
        <w:fldChar w:fldCharType="separate"/>
      </w:r>
      <w:r>
        <w:rPr>
          <w:color w:val="auto"/>
          <w:highlight w:val="none"/>
          <w:u w:val="none"/>
        </w:rPr>
        <w:t>43</w:t>
      </w:r>
      <w:r>
        <w:rPr>
          <w:color w:val="auto"/>
          <w:highlight w:val="none"/>
          <w:u w:val="none"/>
        </w:rPr>
        <w:fldChar w:fldCharType="end"/>
      </w:r>
      <w:r>
        <w:rPr>
          <w:rStyle w:val="30"/>
          <w:color w:val="auto"/>
          <w:highlight w:val="none"/>
        </w:rPr>
        <w:fldChar w:fldCharType="end"/>
      </w:r>
    </w:p>
    <w:p>
      <w:pPr>
        <w:pStyle w:val="22"/>
        <w:tabs>
          <w:tab w:val="right" w:leader="dot" w:pos="8302"/>
        </w:tabs>
        <w:rPr>
          <w:rFonts w:asciiTheme="minorHAnsi" w:hAnsiTheme="minorHAnsi" w:eastAsiaTheme="minorEastAsia" w:cstheme="minorBidi"/>
          <w:b w:val="0"/>
          <w:bCs w:val="0"/>
          <w:caps w:val="0"/>
          <w:color w:val="auto"/>
          <w:sz w:val="21"/>
          <w:szCs w:val="22"/>
          <w:highlight w:val="none"/>
          <w:u w:val="none"/>
        </w:rPr>
      </w:pPr>
      <w:r>
        <w:rPr>
          <w:rStyle w:val="30"/>
          <w:color w:val="auto"/>
          <w:highlight w:val="none"/>
        </w:rPr>
        <w:fldChar w:fldCharType="begin"/>
      </w:r>
      <w:r>
        <w:rPr>
          <w:color w:val="auto"/>
          <w:highlight w:val="none"/>
          <w:u w:val="none"/>
        </w:rPr>
        <w:instrText xml:space="preserve">HYPERLINK \l "_Toc482974544"</w:instrText>
      </w:r>
      <w:r>
        <w:rPr>
          <w:rStyle w:val="30"/>
          <w:color w:val="auto"/>
          <w:highlight w:val="none"/>
        </w:rPr>
        <w:fldChar w:fldCharType="separate"/>
      </w:r>
      <w:r>
        <w:rPr>
          <w:rStyle w:val="30"/>
          <w:rFonts w:hint="eastAsia" w:ascii="楷体" w:hAnsi="楷体" w:eastAsia="楷体"/>
          <w:color w:val="auto"/>
          <w:highlight w:val="none"/>
        </w:rPr>
        <w:t>第二十节信息披露与报告</w:t>
      </w:r>
      <w:r>
        <w:rPr>
          <w:color w:val="auto"/>
          <w:highlight w:val="none"/>
          <w:u w:val="none"/>
        </w:rPr>
        <w:tab/>
      </w:r>
      <w:r>
        <w:rPr>
          <w:color w:val="auto"/>
          <w:highlight w:val="none"/>
          <w:u w:val="none"/>
        </w:rPr>
        <w:fldChar w:fldCharType="begin"/>
      </w:r>
      <w:r>
        <w:rPr>
          <w:color w:val="auto"/>
          <w:highlight w:val="none"/>
          <w:u w:val="none"/>
        </w:rPr>
        <w:instrText xml:space="preserve"> PAGEREF _Toc482974544 \h </w:instrText>
      </w:r>
      <w:r>
        <w:rPr>
          <w:color w:val="auto"/>
          <w:highlight w:val="none"/>
          <w:u w:val="none"/>
        </w:rPr>
        <w:fldChar w:fldCharType="separate"/>
      </w:r>
      <w:r>
        <w:rPr>
          <w:color w:val="auto"/>
          <w:highlight w:val="none"/>
          <w:u w:val="none"/>
        </w:rPr>
        <w:t>44</w:t>
      </w:r>
      <w:r>
        <w:rPr>
          <w:color w:val="auto"/>
          <w:highlight w:val="none"/>
          <w:u w:val="none"/>
        </w:rPr>
        <w:fldChar w:fldCharType="end"/>
      </w:r>
      <w:r>
        <w:rPr>
          <w:rStyle w:val="30"/>
          <w:color w:val="auto"/>
          <w:highlight w:val="none"/>
        </w:rPr>
        <w:fldChar w:fldCharType="end"/>
      </w:r>
    </w:p>
    <w:p>
      <w:pPr>
        <w:pStyle w:val="22"/>
        <w:tabs>
          <w:tab w:val="right" w:leader="dot" w:pos="8302"/>
        </w:tabs>
        <w:rPr>
          <w:rFonts w:asciiTheme="minorHAnsi" w:hAnsiTheme="minorHAnsi" w:eastAsiaTheme="minorEastAsia" w:cstheme="minorBidi"/>
          <w:b w:val="0"/>
          <w:bCs w:val="0"/>
          <w:caps w:val="0"/>
          <w:color w:val="auto"/>
          <w:sz w:val="21"/>
          <w:szCs w:val="22"/>
          <w:highlight w:val="none"/>
          <w:u w:val="none"/>
        </w:rPr>
      </w:pPr>
      <w:r>
        <w:rPr>
          <w:rStyle w:val="30"/>
          <w:color w:val="auto"/>
          <w:highlight w:val="none"/>
        </w:rPr>
        <w:fldChar w:fldCharType="begin"/>
      </w:r>
      <w:r>
        <w:rPr>
          <w:color w:val="auto"/>
          <w:highlight w:val="none"/>
          <w:u w:val="none"/>
        </w:rPr>
        <w:instrText xml:space="preserve">HYPERLINK \l "_Toc482974545"</w:instrText>
      </w:r>
      <w:r>
        <w:rPr>
          <w:rStyle w:val="30"/>
          <w:color w:val="auto"/>
          <w:highlight w:val="none"/>
        </w:rPr>
        <w:fldChar w:fldCharType="separate"/>
      </w:r>
      <w:r>
        <w:rPr>
          <w:rStyle w:val="30"/>
          <w:rFonts w:hint="eastAsia" w:ascii="楷体" w:hAnsi="楷体" w:eastAsia="楷体"/>
          <w:color w:val="auto"/>
          <w:highlight w:val="none"/>
        </w:rPr>
        <w:t>第二十一节风险揭示</w:t>
      </w:r>
      <w:r>
        <w:rPr>
          <w:color w:val="auto"/>
          <w:highlight w:val="none"/>
          <w:u w:val="none"/>
        </w:rPr>
        <w:tab/>
      </w:r>
      <w:r>
        <w:rPr>
          <w:color w:val="auto"/>
          <w:highlight w:val="none"/>
          <w:u w:val="none"/>
        </w:rPr>
        <w:fldChar w:fldCharType="begin"/>
      </w:r>
      <w:r>
        <w:rPr>
          <w:color w:val="auto"/>
          <w:highlight w:val="none"/>
          <w:u w:val="none"/>
        </w:rPr>
        <w:instrText xml:space="preserve"> PAGEREF _Toc482974545 \h </w:instrText>
      </w:r>
      <w:r>
        <w:rPr>
          <w:color w:val="auto"/>
          <w:highlight w:val="none"/>
          <w:u w:val="none"/>
        </w:rPr>
        <w:fldChar w:fldCharType="separate"/>
      </w:r>
      <w:r>
        <w:rPr>
          <w:color w:val="auto"/>
          <w:highlight w:val="none"/>
          <w:u w:val="none"/>
        </w:rPr>
        <w:t>46</w:t>
      </w:r>
      <w:r>
        <w:rPr>
          <w:color w:val="auto"/>
          <w:highlight w:val="none"/>
          <w:u w:val="none"/>
        </w:rPr>
        <w:fldChar w:fldCharType="end"/>
      </w:r>
      <w:r>
        <w:rPr>
          <w:rStyle w:val="30"/>
          <w:color w:val="auto"/>
          <w:highlight w:val="none"/>
        </w:rPr>
        <w:fldChar w:fldCharType="end"/>
      </w:r>
    </w:p>
    <w:p>
      <w:pPr>
        <w:pStyle w:val="22"/>
        <w:tabs>
          <w:tab w:val="right" w:leader="dot" w:pos="8302"/>
        </w:tabs>
        <w:rPr>
          <w:rFonts w:asciiTheme="minorHAnsi" w:hAnsiTheme="minorHAnsi" w:eastAsiaTheme="minorEastAsia" w:cstheme="minorBidi"/>
          <w:b w:val="0"/>
          <w:bCs w:val="0"/>
          <w:caps w:val="0"/>
          <w:color w:val="auto"/>
          <w:sz w:val="21"/>
          <w:szCs w:val="22"/>
          <w:highlight w:val="none"/>
          <w:u w:val="none"/>
        </w:rPr>
      </w:pPr>
      <w:r>
        <w:rPr>
          <w:rStyle w:val="30"/>
          <w:color w:val="auto"/>
          <w:highlight w:val="none"/>
        </w:rPr>
        <w:fldChar w:fldCharType="begin"/>
      </w:r>
      <w:r>
        <w:rPr>
          <w:color w:val="auto"/>
          <w:highlight w:val="none"/>
          <w:u w:val="none"/>
        </w:rPr>
        <w:instrText xml:space="preserve">HYPERLINK \l "_Toc482974546"</w:instrText>
      </w:r>
      <w:r>
        <w:rPr>
          <w:rStyle w:val="30"/>
          <w:color w:val="auto"/>
          <w:highlight w:val="none"/>
        </w:rPr>
        <w:fldChar w:fldCharType="separate"/>
      </w:r>
      <w:r>
        <w:rPr>
          <w:rStyle w:val="30"/>
          <w:rFonts w:hint="eastAsia" w:ascii="楷体" w:hAnsi="楷体" w:eastAsia="楷体"/>
          <w:color w:val="auto"/>
          <w:highlight w:val="none"/>
        </w:rPr>
        <w:t>第二十二节基金合同的期限、变更、终止</w:t>
      </w:r>
      <w:r>
        <w:rPr>
          <w:color w:val="auto"/>
          <w:highlight w:val="none"/>
          <w:u w:val="none"/>
        </w:rPr>
        <w:tab/>
      </w:r>
      <w:r>
        <w:rPr>
          <w:color w:val="auto"/>
          <w:highlight w:val="none"/>
          <w:u w:val="none"/>
        </w:rPr>
        <w:fldChar w:fldCharType="begin"/>
      </w:r>
      <w:r>
        <w:rPr>
          <w:color w:val="auto"/>
          <w:highlight w:val="none"/>
          <w:u w:val="none"/>
        </w:rPr>
        <w:instrText xml:space="preserve"> PAGEREF _Toc482974546 \h </w:instrText>
      </w:r>
      <w:r>
        <w:rPr>
          <w:color w:val="auto"/>
          <w:highlight w:val="none"/>
          <w:u w:val="none"/>
        </w:rPr>
        <w:fldChar w:fldCharType="separate"/>
      </w:r>
      <w:r>
        <w:rPr>
          <w:color w:val="auto"/>
          <w:highlight w:val="none"/>
          <w:u w:val="none"/>
        </w:rPr>
        <w:t>47</w:t>
      </w:r>
      <w:r>
        <w:rPr>
          <w:color w:val="auto"/>
          <w:highlight w:val="none"/>
          <w:u w:val="none"/>
        </w:rPr>
        <w:fldChar w:fldCharType="end"/>
      </w:r>
      <w:r>
        <w:rPr>
          <w:rStyle w:val="30"/>
          <w:color w:val="auto"/>
          <w:highlight w:val="none"/>
        </w:rPr>
        <w:fldChar w:fldCharType="end"/>
      </w:r>
    </w:p>
    <w:p>
      <w:pPr>
        <w:pStyle w:val="22"/>
        <w:tabs>
          <w:tab w:val="right" w:leader="dot" w:pos="8302"/>
        </w:tabs>
        <w:rPr>
          <w:rFonts w:asciiTheme="minorHAnsi" w:hAnsiTheme="minorHAnsi" w:eastAsiaTheme="minorEastAsia" w:cstheme="minorBidi"/>
          <w:b w:val="0"/>
          <w:bCs w:val="0"/>
          <w:caps w:val="0"/>
          <w:color w:val="auto"/>
          <w:sz w:val="21"/>
          <w:szCs w:val="22"/>
          <w:highlight w:val="none"/>
          <w:u w:val="none"/>
        </w:rPr>
      </w:pPr>
      <w:r>
        <w:rPr>
          <w:rStyle w:val="30"/>
          <w:color w:val="auto"/>
          <w:highlight w:val="none"/>
        </w:rPr>
        <w:fldChar w:fldCharType="begin"/>
      </w:r>
      <w:r>
        <w:rPr>
          <w:color w:val="auto"/>
          <w:highlight w:val="none"/>
          <w:u w:val="none"/>
        </w:rPr>
        <w:instrText xml:space="preserve">HYPERLINK \l "_Toc482974547"</w:instrText>
      </w:r>
      <w:r>
        <w:rPr>
          <w:rStyle w:val="30"/>
          <w:color w:val="auto"/>
          <w:highlight w:val="none"/>
        </w:rPr>
        <w:fldChar w:fldCharType="separate"/>
      </w:r>
      <w:r>
        <w:rPr>
          <w:rStyle w:val="30"/>
          <w:rFonts w:hint="eastAsia" w:ascii="楷体" w:hAnsi="楷体" w:eastAsia="楷体"/>
          <w:color w:val="auto"/>
          <w:highlight w:val="none"/>
        </w:rPr>
        <w:t>第二十三节基金财产的清算</w:t>
      </w:r>
      <w:r>
        <w:rPr>
          <w:color w:val="auto"/>
          <w:highlight w:val="none"/>
          <w:u w:val="none"/>
        </w:rPr>
        <w:tab/>
      </w:r>
      <w:r>
        <w:rPr>
          <w:color w:val="auto"/>
          <w:highlight w:val="none"/>
          <w:u w:val="none"/>
        </w:rPr>
        <w:fldChar w:fldCharType="begin"/>
      </w:r>
      <w:r>
        <w:rPr>
          <w:color w:val="auto"/>
          <w:highlight w:val="none"/>
          <w:u w:val="none"/>
        </w:rPr>
        <w:instrText xml:space="preserve"> PAGEREF _Toc482974547 \h </w:instrText>
      </w:r>
      <w:r>
        <w:rPr>
          <w:color w:val="auto"/>
          <w:highlight w:val="none"/>
          <w:u w:val="none"/>
        </w:rPr>
        <w:fldChar w:fldCharType="separate"/>
      </w:r>
      <w:r>
        <w:rPr>
          <w:color w:val="auto"/>
          <w:highlight w:val="none"/>
          <w:u w:val="none"/>
        </w:rPr>
        <w:t>49</w:t>
      </w:r>
      <w:r>
        <w:rPr>
          <w:color w:val="auto"/>
          <w:highlight w:val="none"/>
          <w:u w:val="none"/>
        </w:rPr>
        <w:fldChar w:fldCharType="end"/>
      </w:r>
      <w:r>
        <w:rPr>
          <w:rStyle w:val="30"/>
          <w:color w:val="auto"/>
          <w:highlight w:val="none"/>
        </w:rPr>
        <w:fldChar w:fldCharType="end"/>
      </w:r>
    </w:p>
    <w:p>
      <w:pPr>
        <w:pStyle w:val="22"/>
        <w:tabs>
          <w:tab w:val="right" w:leader="dot" w:pos="8302"/>
        </w:tabs>
        <w:rPr>
          <w:rFonts w:asciiTheme="minorHAnsi" w:hAnsiTheme="minorHAnsi" w:eastAsiaTheme="minorEastAsia" w:cstheme="minorBidi"/>
          <w:b w:val="0"/>
          <w:bCs w:val="0"/>
          <w:caps w:val="0"/>
          <w:color w:val="auto"/>
          <w:sz w:val="21"/>
          <w:szCs w:val="22"/>
          <w:highlight w:val="none"/>
          <w:u w:val="none"/>
        </w:rPr>
      </w:pPr>
      <w:r>
        <w:rPr>
          <w:rStyle w:val="30"/>
          <w:color w:val="auto"/>
          <w:highlight w:val="none"/>
        </w:rPr>
        <w:fldChar w:fldCharType="begin"/>
      </w:r>
      <w:r>
        <w:rPr>
          <w:color w:val="auto"/>
          <w:highlight w:val="none"/>
          <w:u w:val="none"/>
        </w:rPr>
        <w:instrText xml:space="preserve">HYPERLINK \l "_Toc482974548"</w:instrText>
      </w:r>
      <w:r>
        <w:rPr>
          <w:rStyle w:val="30"/>
          <w:color w:val="auto"/>
          <w:highlight w:val="none"/>
        </w:rPr>
        <w:fldChar w:fldCharType="separate"/>
      </w:r>
      <w:r>
        <w:rPr>
          <w:rStyle w:val="30"/>
          <w:rFonts w:hint="eastAsia" w:ascii="楷体" w:hAnsi="楷体" w:eastAsia="楷体"/>
          <w:color w:val="auto"/>
          <w:highlight w:val="none"/>
        </w:rPr>
        <w:t>第二十四节违约责任</w:t>
      </w:r>
      <w:r>
        <w:rPr>
          <w:color w:val="auto"/>
          <w:highlight w:val="none"/>
          <w:u w:val="none"/>
        </w:rPr>
        <w:tab/>
      </w:r>
      <w:r>
        <w:rPr>
          <w:color w:val="auto"/>
          <w:highlight w:val="none"/>
          <w:u w:val="none"/>
        </w:rPr>
        <w:fldChar w:fldCharType="begin"/>
      </w:r>
      <w:r>
        <w:rPr>
          <w:color w:val="auto"/>
          <w:highlight w:val="none"/>
          <w:u w:val="none"/>
        </w:rPr>
        <w:instrText xml:space="preserve"> PAGEREF _Toc482974548 \h </w:instrText>
      </w:r>
      <w:r>
        <w:rPr>
          <w:color w:val="auto"/>
          <w:highlight w:val="none"/>
          <w:u w:val="none"/>
        </w:rPr>
        <w:fldChar w:fldCharType="separate"/>
      </w:r>
      <w:r>
        <w:rPr>
          <w:color w:val="auto"/>
          <w:highlight w:val="none"/>
          <w:u w:val="none"/>
        </w:rPr>
        <w:t>51</w:t>
      </w:r>
      <w:r>
        <w:rPr>
          <w:color w:val="auto"/>
          <w:highlight w:val="none"/>
          <w:u w:val="none"/>
        </w:rPr>
        <w:fldChar w:fldCharType="end"/>
      </w:r>
      <w:r>
        <w:rPr>
          <w:rStyle w:val="30"/>
          <w:color w:val="auto"/>
          <w:highlight w:val="none"/>
        </w:rPr>
        <w:fldChar w:fldCharType="end"/>
      </w:r>
    </w:p>
    <w:p>
      <w:pPr>
        <w:pStyle w:val="22"/>
        <w:tabs>
          <w:tab w:val="right" w:leader="dot" w:pos="8302"/>
        </w:tabs>
        <w:rPr>
          <w:rFonts w:asciiTheme="minorHAnsi" w:hAnsiTheme="minorHAnsi" w:eastAsiaTheme="minorEastAsia" w:cstheme="minorBidi"/>
          <w:b w:val="0"/>
          <w:bCs w:val="0"/>
          <w:caps w:val="0"/>
          <w:color w:val="auto"/>
          <w:sz w:val="21"/>
          <w:szCs w:val="22"/>
          <w:highlight w:val="none"/>
          <w:u w:val="none"/>
        </w:rPr>
      </w:pPr>
      <w:r>
        <w:rPr>
          <w:rStyle w:val="30"/>
          <w:color w:val="auto"/>
          <w:highlight w:val="none"/>
        </w:rPr>
        <w:fldChar w:fldCharType="begin"/>
      </w:r>
      <w:r>
        <w:rPr>
          <w:color w:val="auto"/>
          <w:highlight w:val="none"/>
          <w:u w:val="none"/>
        </w:rPr>
        <w:instrText xml:space="preserve">HYPERLINK \l "_Toc482974549"</w:instrText>
      </w:r>
      <w:r>
        <w:rPr>
          <w:rStyle w:val="30"/>
          <w:color w:val="auto"/>
          <w:highlight w:val="none"/>
        </w:rPr>
        <w:fldChar w:fldCharType="separate"/>
      </w:r>
      <w:r>
        <w:rPr>
          <w:rStyle w:val="30"/>
          <w:rFonts w:hint="eastAsia" w:ascii="楷体" w:hAnsi="楷体" w:eastAsia="楷体"/>
          <w:color w:val="auto"/>
          <w:highlight w:val="none"/>
        </w:rPr>
        <w:t>第二十五节争议的处理</w:t>
      </w:r>
      <w:r>
        <w:rPr>
          <w:color w:val="auto"/>
          <w:highlight w:val="none"/>
          <w:u w:val="none"/>
        </w:rPr>
        <w:tab/>
      </w:r>
      <w:r>
        <w:rPr>
          <w:color w:val="auto"/>
          <w:highlight w:val="none"/>
          <w:u w:val="none"/>
        </w:rPr>
        <w:fldChar w:fldCharType="begin"/>
      </w:r>
      <w:r>
        <w:rPr>
          <w:color w:val="auto"/>
          <w:highlight w:val="none"/>
          <w:u w:val="none"/>
        </w:rPr>
        <w:instrText xml:space="preserve"> PAGEREF _Toc482974549 \h </w:instrText>
      </w:r>
      <w:r>
        <w:rPr>
          <w:color w:val="auto"/>
          <w:highlight w:val="none"/>
          <w:u w:val="none"/>
        </w:rPr>
        <w:fldChar w:fldCharType="separate"/>
      </w:r>
      <w:r>
        <w:rPr>
          <w:color w:val="auto"/>
          <w:highlight w:val="none"/>
          <w:u w:val="none"/>
        </w:rPr>
        <w:t>52</w:t>
      </w:r>
      <w:r>
        <w:rPr>
          <w:color w:val="auto"/>
          <w:highlight w:val="none"/>
          <w:u w:val="none"/>
        </w:rPr>
        <w:fldChar w:fldCharType="end"/>
      </w:r>
      <w:r>
        <w:rPr>
          <w:rStyle w:val="30"/>
          <w:color w:val="auto"/>
          <w:highlight w:val="none"/>
        </w:rPr>
        <w:fldChar w:fldCharType="end"/>
      </w:r>
    </w:p>
    <w:p>
      <w:pPr>
        <w:pStyle w:val="22"/>
        <w:tabs>
          <w:tab w:val="right" w:leader="dot" w:pos="8302"/>
        </w:tabs>
        <w:rPr>
          <w:rFonts w:asciiTheme="minorHAnsi" w:hAnsiTheme="minorHAnsi" w:eastAsiaTheme="minorEastAsia" w:cstheme="minorBidi"/>
          <w:b w:val="0"/>
          <w:bCs w:val="0"/>
          <w:caps w:val="0"/>
          <w:color w:val="auto"/>
          <w:sz w:val="21"/>
          <w:szCs w:val="22"/>
          <w:highlight w:val="none"/>
          <w:u w:val="none"/>
        </w:rPr>
      </w:pPr>
      <w:r>
        <w:rPr>
          <w:rStyle w:val="30"/>
          <w:color w:val="auto"/>
          <w:highlight w:val="none"/>
        </w:rPr>
        <w:fldChar w:fldCharType="begin"/>
      </w:r>
      <w:r>
        <w:rPr>
          <w:color w:val="auto"/>
          <w:highlight w:val="none"/>
          <w:u w:val="none"/>
        </w:rPr>
        <w:instrText xml:space="preserve">HYPERLINK \l "_Toc482974550"</w:instrText>
      </w:r>
      <w:r>
        <w:rPr>
          <w:rStyle w:val="30"/>
          <w:color w:val="auto"/>
          <w:highlight w:val="none"/>
        </w:rPr>
        <w:fldChar w:fldCharType="separate"/>
      </w:r>
      <w:r>
        <w:rPr>
          <w:rStyle w:val="30"/>
          <w:rFonts w:hint="eastAsia" w:ascii="楷体" w:hAnsi="楷体" w:eastAsia="楷体"/>
          <w:color w:val="auto"/>
          <w:highlight w:val="none"/>
        </w:rPr>
        <w:t>第二十六节其他事项</w:t>
      </w:r>
      <w:r>
        <w:rPr>
          <w:color w:val="auto"/>
          <w:highlight w:val="none"/>
          <w:u w:val="none"/>
        </w:rPr>
        <w:tab/>
      </w:r>
      <w:r>
        <w:rPr>
          <w:color w:val="auto"/>
          <w:highlight w:val="none"/>
          <w:u w:val="none"/>
        </w:rPr>
        <w:fldChar w:fldCharType="begin"/>
      </w:r>
      <w:r>
        <w:rPr>
          <w:color w:val="auto"/>
          <w:highlight w:val="none"/>
          <w:u w:val="none"/>
        </w:rPr>
        <w:instrText xml:space="preserve"> PAGEREF _Toc482974550 \h </w:instrText>
      </w:r>
      <w:r>
        <w:rPr>
          <w:color w:val="auto"/>
          <w:highlight w:val="none"/>
          <w:u w:val="none"/>
        </w:rPr>
        <w:fldChar w:fldCharType="separate"/>
      </w:r>
      <w:r>
        <w:rPr>
          <w:color w:val="auto"/>
          <w:highlight w:val="none"/>
          <w:u w:val="none"/>
        </w:rPr>
        <w:t>53</w:t>
      </w:r>
      <w:r>
        <w:rPr>
          <w:color w:val="auto"/>
          <w:highlight w:val="none"/>
          <w:u w:val="none"/>
        </w:rPr>
        <w:fldChar w:fldCharType="end"/>
      </w:r>
      <w:r>
        <w:rPr>
          <w:rStyle w:val="30"/>
          <w:color w:val="auto"/>
          <w:highlight w:val="none"/>
        </w:rPr>
        <w:fldChar w:fldCharType="end"/>
      </w:r>
    </w:p>
    <w:p>
      <w:pPr>
        <w:pStyle w:val="22"/>
        <w:tabs>
          <w:tab w:val="right" w:leader="dot" w:pos="8302"/>
        </w:tabs>
        <w:rPr>
          <w:rStyle w:val="30"/>
          <w:rFonts w:ascii="楷体" w:hAnsi="楷体" w:eastAsia="楷体"/>
          <w:color w:val="auto"/>
          <w:highlight w:val="none"/>
        </w:rPr>
      </w:pPr>
      <w:r>
        <w:rPr>
          <w:rStyle w:val="30"/>
          <w:rFonts w:hint="eastAsia" w:ascii="楷体" w:hAnsi="楷体" w:eastAsia="楷体"/>
          <w:color w:val="auto"/>
          <w:highlight w:val="none"/>
        </w:rPr>
        <w:t>附件一</w:t>
      </w:r>
      <w:r>
        <w:rPr>
          <w:rStyle w:val="30"/>
          <w:rFonts w:hint="eastAsia" w:ascii="楷体" w:hAnsi="楷体" w:eastAsia="楷体"/>
          <w:color w:val="auto"/>
          <w:highlight w:val="none"/>
          <w:u w:val="none"/>
        </w:rPr>
        <w:t>：</w:t>
      </w:r>
      <w:r>
        <w:rPr>
          <w:rStyle w:val="30"/>
          <w:rFonts w:ascii="楷体" w:hAnsi="楷体" w:eastAsia="楷体"/>
          <w:color w:val="auto"/>
          <w:highlight w:val="none"/>
        </w:rPr>
        <w:fldChar w:fldCharType="begin"/>
      </w:r>
      <w:r>
        <w:rPr>
          <w:rStyle w:val="30"/>
          <w:rFonts w:ascii="楷体" w:hAnsi="楷体" w:eastAsia="楷体"/>
          <w:color w:val="auto"/>
          <w:highlight w:val="none"/>
        </w:rPr>
        <w:instrText xml:space="preserve"> HYPERLINK \l "_Toc482974551" </w:instrText>
      </w:r>
      <w:r>
        <w:rPr>
          <w:rStyle w:val="30"/>
          <w:rFonts w:ascii="楷体" w:hAnsi="楷体" w:eastAsia="楷体"/>
          <w:color w:val="auto"/>
          <w:highlight w:val="none"/>
        </w:rPr>
        <w:fldChar w:fldCharType="separate"/>
      </w:r>
      <w:r>
        <w:rPr>
          <w:rStyle w:val="30"/>
          <w:rFonts w:hint="eastAsia" w:ascii="楷体" w:hAnsi="楷体" w:eastAsia="楷体"/>
          <w:color w:val="auto"/>
          <w:highlight w:val="none"/>
        </w:rPr>
        <w:t>风险揭示书</w:t>
      </w:r>
      <w:r>
        <w:rPr>
          <w:rStyle w:val="29"/>
          <w:color w:val="auto"/>
          <w:highlight w:val="none"/>
          <w:u w:val="none"/>
        </w:rPr>
        <w:tab/>
      </w:r>
      <w:r>
        <w:rPr>
          <w:color w:val="auto"/>
          <w:highlight w:val="none"/>
          <w:u w:val="none"/>
        </w:rPr>
        <w:fldChar w:fldCharType="begin"/>
      </w:r>
      <w:r>
        <w:rPr>
          <w:color w:val="auto"/>
          <w:highlight w:val="none"/>
          <w:u w:val="none"/>
        </w:rPr>
        <w:instrText xml:space="preserve"> PAGEREF _Toc482974551 \h </w:instrText>
      </w:r>
      <w:r>
        <w:rPr>
          <w:color w:val="auto"/>
          <w:highlight w:val="none"/>
          <w:u w:val="none"/>
        </w:rPr>
        <w:fldChar w:fldCharType="separate"/>
      </w:r>
      <w:r>
        <w:rPr>
          <w:color w:val="auto"/>
          <w:highlight w:val="none"/>
          <w:u w:val="none"/>
        </w:rPr>
        <w:t>57</w:t>
      </w:r>
      <w:r>
        <w:rPr>
          <w:color w:val="auto"/>
          <w:highlight w:val="none"/>
          <w:u w:val="none"/>
        </w:rPr>
        <w:fldChar w:fldCharType="end"/>
      </w:r>
      <w:r>
        <w:rPr>
          <w:rStyle w:val="30"/>
          <w:rFonts w:ascii="楷体" w:hAnsi="楷体" w:eastAsia="楷体"/>
          <w:color w:val="auto"/>
          <w:highlight w:val="none"/>
        </w:rPr>
        <w:fldChar w:fldCharType="end"/>
      </w:r>
    </w:p>
    <w:p>
      <w:pPr>
        <w:pStyle w:val="22"/>
        <w:tabs>
          <w:tab w:val="right" w:leader="dot" w:pos="8302"/>
        </w:tabs>
        <w:rPr>
          <w:rFonts w:asciiTheme="minorHAnsi" w:hAnsiTheme="minorHAnsi" w:eastAsiaTheme="minorEastAsia" w:cstheme="minorBidi"/>
          <w:b w:val="0"/>
          <w:bCs w:val="0"/>
          <w:caps w:val="0"/>
          <w:color w:val="auto"/>
          <w:sz w:val="21"/>
          <w:szCs w:val="22"/>
          <w:highlight w:val="none"/>
          <w:u w:val="none"/>
        </w:rPr>
      </w:pPr>
      <w:r>
        <w:rPr>
          <w:rStyle w:val="30"/>
          <w:color w:val="auto"/>
          <w:highlight w:val="none"/>
        </w:rPr>
        <w:fldChar w:fldCharType="begin"/>
      </w:r>
      <w:r>
        <w:rPr>
          <w:color w:val="auto"/>
          <w:highlight w:val="none"/>
          <w:u w:val="none"/>
        </w:rPr>
        <w:instrText xml:space="preserve">HYPERLINK \l "_Toc482974552"</w:instrText>
      </w:r>
      <w:r>
        <w:rPr>
          <w:rStyle w:val="30"/>
          <w:color w:val="auto"/>
          <w:highlight w:val="none"/>
        </w:rPr>
        <w:fldChar w:fldCharType="separate"/>
      </w:r>
      <w:r>
        <w:rPr>
          <w:rStyle w:val="30"/>
          <w:rFonts w:hint="eastAsia" w:ascii="楷体" w:hAnsi="楷体" w:eastAsia="楷体"/>
          <w:color w:val="auto"/>
          <w:highlight w:val="none"/>
        </w:rPr>
        <w:t>附件二：基金销售代理协议及补充协议摘要</w:t>
      </w:r>
      <w:r>
        <w:rPr>
          <w:color w:val="auto"/>
          <w:highlight w:val="none"/>
          <w:u w:val="none"/>
        </w:rPr>
        <w:tab/>
      </w:r>
      <w:r>
        <w:rPr>
          <w:color w:val="auto"/>
          <w:highlight w:val="none"/>
          <w:u w:val="none"/>
        </w:rPr>
        <w:fldChar w:fldCharType="begin"/>
      </w:r>
      <w:r>
        <w:rPr>
          <w:color w:val="auto"/>
          <w:highlight w:val="none"/>
          <w:u w:val="none"/>
        </w:rPr>
        <w:instrText xml:space="preserve"> PAGEREF _Toc482974552 \h </w:instrText>
      </w:r>
      <w:r>
        <w:rPr>
          <w:color w:val="auto"/>
          <w:highlight w:val="none"/>
          <w:u w:val="none"/>
        </w:rPr>
        <w:fldChar w:fldCharType="separate"/>
      </w:r>
      <w:r>
        <w:rPr>
          <w:color w:val="auto"/>
          <w:highlight w:val="none"/>
          <w:u w:val="none"/>
        </w:rPr>
        <w:t>65</w:t>
      </w:r>
      <w:r>
        <w:rPr>
          <w:color w:val="auto"/>
          <w:highlight w:val="none"/>
          <w:u w:val="none"/>
        </w:rPr>
        <w:fldChar w:fldCharType="end"/>
      </w:r>
      <w:r>
        <w:rPr>
          <w:rStyle w:val="30"/>
          <w:color w:val="auto"/>
          <w:highlight w:val="none"/>
        </w:rPr>
        <w:fldChar w:fldCharType="end"/>
      </w:r>
    </w:p>
    <w:p>
      <w:pPr>
        <w:spacing w:line="360" w:lineRule="auto"/>
        <w:jc w:val="center"/>
        <w:rPr>
          <w:rFonts w:ascii="楷体" w:hAnsi="楷体" w:eastAsia="楷体"/>
          <w:color w:val="auto"/>
          <w:szCs w:val="21"/>
          <w:highlight w:val="none"/>
          <w:u w:val="none"/>
        </w:rPr>
      </w:pPr>
      <w:r>
        <w:rPr>
          <w:rFonts w:ascii="楷体" w:hAnsi="楷体" w:eastAsia="楷体"/>
          <w:color w:val="auto"/>
          <w:szCs w:val="21"/>
          <w:highlight w:val="none"/>
          <w:u w:val="none"/>
        </w:rPr>
        <w:fldChar w:fldCharType="end"/>
      </w:r>
    </w:p>
    <w:p>
      <w:pPr>
        <w:spacing w:line="360" w:lineRule="auto"/>
        <w:rPr>
          <w:rFonts w:ascii="楷体" w:hAnsi="楷体" w:eastAsia="楷体"/>
          <w:color w:val="auto"/>
          <w:highlight w:val="none"/>
          <w:u w:val="none"/>
        </w:rPr>
        <w:sectPr>
          <w:pgSz w:w="11906" w:h="16838"/>
          <w:pgMar w:top="1440" w:right="1797" w:bottom="1440" w:left="1797" w:header="851" w:footer="992" w:gutter="0"/>
          <w:pgNumType w:start="1"/>
          <w:cols w:space="720" w:num="1"/>
          <w:docGrid w:type="lines" w:linePitch="312" w:charSpace="0"/>
        </w:sectPr>
      </w:pPr>
    </w:p>
    <w:p>
      <w:pPr>
        <w:pStyle w:val="4"/>
        <w:snapToGrid/>
        <w:spacing w:before="0" w:afterLines="50"/>
        <w:rPr>
          <w:rFonts w:ascii="楷体" w:hAnsi="楷体" w:eastAsia="楷体"/>
          <w:color w:val="auto"/>
          <w:sz w:val="24"/>
          <w:highlight w:val="none"/>
          <w:u w:val="none"/>
        </w:rPr>
      </w:pPr>
      <w:bookmarkStart w:id="7" w:name="_Toc258149308"/>
      <w:bookmarkStart w:id="8" w:name="_Toc194292241"/>
      <w:bookmarkStart w:id="9" w:name="_Toc187034616"/>
      <w:bookmarkStart w:id="10" w:name="_Toc482974525"/>
      <w:r>
        <w:rPr>
          <w:rFonts w:ascii="楷体" w:hAnsi="楷体" w:eastAsia="楷体"/>
          <w:color w:val="auto"/>
          <w:sz w:val="24"/>
          <w:highlight w:val="none"/>
          <w:u w:val="none"/>
        </w:rPr>
        <w:t>第一节前言</w:t>
      </w:r>
      <w:bookmarkEnd w:id="7"/>
      <w:bookmarkEnd w:id="8"/>
      <w:bookmarkEnd w:id="9"/>
      <w:bookmarkEnd w:id="10"/>
    </w:p>
    <w:p>
      <w:pPr>
        <w:pStyle w:val="81"/>
        <w:rPr>
          <w:color w:val="auto"/>
          <w:highlight w:val="none"/>
          <w:u w:val="none"/>
        </w:rPr>
      </w:pPr>
      <w:r>
        <w:rPr>
          <w:color w:val="auto"/>
          <w:highlight w:val="none"/>
          <w:u w:val="none"/>
        </w:rPr>
        <w:t>(</w:t>
      </w:r>
      <w:r>
        <w:rPr>
          <w:rFonts w:hint="eastAsia"/>
          <w:color w:val="auto"/>
          <w:highlight w:val="none"/>
          <w:u w:val="none"/>
        </w:rPr>
        <w:t>一</w:t>
      </w:r>
      <w:r>
        <w:rPr>
          <w:color w:val="auto"/>
          <w:highlight w:val="none"/>
          <w:u w:val="none"/>
        </w:rPr>
        <w:t>)</w:t>
      </w:r>
      <w:r>
        <w:rPr>
          <w:rFonts w:hint="eastAsia"/>
          <w:color w:val="auto"/>
          <w:highlight w:val="none"/>
          <w:u w:val="none"/>
        </w:rPr>
        <w:t>订立本合同的依据、目的和原则</w:t>
      </w:r>
    </w:p>
    <w:p>
      <w:pPr>
        <w:pStyle w:val="81"/>
        <w:rPr>
          <w:color w:val="auto"/>
          <w:highlight w:val="none"/>
          <w:u w:val="none"/>
        </w:rPr>
      </w:pPr>
      <w:r>
        <w:rPr>
          <w:color w:val="auto"/>
          <w:highlight w:val="none"/>
          <w:u w:val="none"/>
        </w:rPr>
        <w:t>1.</w:t>
      </w:r>
      <w:r>
        <w:rPr>
          <w:rFonts w:hint="eastAsia"/>
          <w:color w:val="auto"/>
          <w:highlight w:val="none"/>
          <w:u w:val="none"/>
        </w:rPr>
        <w:t>根据《中华人民共和国合同法》、《中华人民共和国证券投资基金法》、《私募投资基金监督管理暂行办法》、《证券期货经营机构私募资产管理业务运作管理暂行规定》、《私募投资基金管理人登记和基金备案办法（试行）》、《私募投资基金募集行为管理办法》、《私募投资基金合同指引》及其他相关法律法规和行业自律规则的有关规定，本合同各方经友好协商，在平等、自愿、互利和诚实信用的基础上，特订立本合同，以兹信守。</w:t>
      </w:r>
    </w:p>
    <w:p>
      <w:pPr>
        <w:pStyle w:val="81"/>
        <w:rPr>
          <w:color w:val="auto"/>
          <w:highlight w:val="none"/>
          <w:u w:val="none"/>
        </w:rPr>
      </w:pPr>
      <w:r>
        <w:rPr>
          <w:color w:val="auto"/>
          <w:highlight w:val="none"/>
          <w:u w:val="none"/>
        </w:rPr>
        <w:t>2.</w:t>
      </w:r>
      <w:r>
        <w:rPr>
          <w:rFonts w:hint="eastAsia"/>
          <w:color w:val="auto"/>
          <w:highlight w:val="none"/>
          <w:u w:val="none"/>
        </w:rPr>
        <w:t>本基金合同订立的目的是为了明确投资者、管理人和托管人的权利、义务及职责，规范基金的运作，确保委托财产的安全，保护当事人各方的合法权益。</w:t>
      </w:r>
    </w:p>
    <w:p>
      <w:pPr>
        <w:pStyle w:val="81"/>
        <w:rPr>
          <w:color w:val="auto"/>
          <w:highlight w:val="none"/>
          <w:u w:val="none"/>
        </w:rPr>
      </w:pPr>
      <w:r>
        <w:rPr>
          <w:color w:val="auto"/>
          <w:highlight w:val="none"/>
          <w:u w:val="none"/>
        </w:rPr>
        <w:t>3.</w:t>
      </w:r>
      <w:r>
        <w:rPr>
          <w:rFonts w:hint="eastAsia"/>
          <w:color w:val="auto"/>
          <w:highlight w:val="none"/>
          <w:u w:val="none"/>
        </w:rPr>
        <w:t>本基金合同订立的原则是平等自愿、诚实信用、充分保护本合同各方当事人的合法权益。</w:t>
      </w:r>
    </w:p>
    <w:p>
      <w:pPr>
        <w:pStyle w:val="81"/>
        <w:rPr>
          <w:color w:val="auto"/>
          <w:highlight w:val="none"/>
          <w:u w:val="none"/>
        </w:rPr>
      </w:pPr>
      <w:r>
        <w:rPr>
          <w:rFonts w:hint="eastAsia"/>
          <w:color w:val="auto"/>
          <w:highlight w:val="none"/>
          <w:u w:val="none"/>
        </w:rPr>
        <w:t>(二)投资者自签订基金合同之日起成为基金合同的当事人，且自其持有的全部基金份额退出基金或被转让给其他合格投资者之日起，投资者不再是基金的份额持有人和基金合同的当事人。中国证券投资基金业协会接受本基金的备案并不表明其对基金的价值和收益做出实质性判断或保证，也不表明投资于基金没有风险。</w:t>
      </w:r>
    </w:p>
    <w:p>
      <w:pPr>
        <w:pStyle w:val="81"/>
        <w:rPr>
          <w:color w:val="auto"/>
          <w:highlight w:val="none"/>
          <w:u w:val="none"/>
        </w:rPr>
      </w:pPr>
      <w:r>
        <w:rPr>
          <w:rFonts w:hint="eastAsia"/>
          <w:color w:val="auto"/>
          <w:highlight w:val="none"/>
          <w:u w:val="none"/>
        </w:rPr>
        <w:t>(三)本基金合同是规定各当事人之间权利义务关系的基本法律文件，其他与本基金相关的涉及各当事人之间权利义务关系的任何文件或表述，如与本基金合同有冲突，均以本基金合同为准。</w:t>
      </w:r>
    </w:p>
    <w:p>
      <w:pPr>
        <w:pStyle w:val="81"/>
        <w:rPr>
          <w:color w:val="auto"/>
          <w:szCs w:val="21"/>
          <w:highlight w:val="none"/>
          <w:u w:val="none"/>
        </w:rPr>
      </w:pPr>
      <w:r>
        <w:rPr>
          <w:rFonts w:hint="eastAsia"/>
          <w:color w:val="auto"/>
          <w:szCs w:val="21"/>
          <w:highlight w:val="none"/>
          <w:u w:val="none"/>
        </w:rPr>
        <w:t>(四)若因法律法规的制定或修改导致本基金合同的内容与届时有效的法律法规的规定存在冲突，应当以届时有效的法律法规的规定为准，各方当事人应及时对本基金合同进行相应变更和调整。</w:t>
      </w:r>
    </w:p>
    <w:p>
      <w:pPr>
        <w:pStyle w:val="4"/>
        <w:snapToGrid/>
        <w:spacing w:beforeLines="100" w:afterLines="50"/>
        <w:rPr>
          <w:rFonts w:ascii="楷体" w:hAnsi="楷体" w:eastAsia="楷体"/>
          <w:color w:val="auto"/>
          <w:sz w:val="24"/>
          <w:highlight w:val="none"/>
          <w:u w:val="none"/>
        </w:rPr>
      </w:pPr>
      <w:bookmarkStart w:id="11" w:name="_Toc258149309"/>
      <w:bookmarkStart w:id="12" w:name="_Toc482974526"/>
      <w:bookmarkStart w:id="13" w:name="_Toc194292242"/>
      <w:r>
        <w:rPr>
          <w:rFonts w:ascii="楷体" w:hAnsi="楷体" w:eastAsia="楷体"/>
          <w:color w:val="auto"/>
          <w:sz w:val="24"/>
          <w:highlight w:val="none"/>
          <w:u w:val="none"/>
        </w:rPr>
        <w:t>第二节释义</w:t>
      </w:r>
      <w:bookmarkEnd w:id="11"/>
      <w:bookmarkEnd w:id="12"/>
      <w:bookmarkEnd w:id="13"/>
    </w:p>
    <w:p>
      <w:pPr>
        <w:pStyle w:val="81"/>
        <w:rPr>
          <w:color w:val="auto"/>
          <w:highlight w:val="none"/>
          <w:u w:val="none"/>
        </w:rPr>
      </w:pPr>
      <w:r>
        <w:rPr>
          <w:rFonts w:hint="eastAsia"/>
          <w:color w:val="auto"/>
          <w:highlight w:val="none"/>
          <w:u w:val="none"/>
        </w:rPr>
        <w:t>在本合同项下，除非文义另有所指，下列词语具有以下含义：</w:t>
      </w:r>
    </w:p>
    <w:p>
      <w:pPr>
        <w:pStyle w:val="81"/>
        <w:rPr>
          <w:color w:val="auto"/>
          <w:szCs w:val="21"/>
          <w:highlight w:val="none"/>
          <w:u w:val="none"/>
        </w:rPr>
      </w:pPr>
      <w:r>
        <w:rPr>
          <w:color w:val="auto"/>
          <w:szCs w:val="21"/>
          <w:highlight w:val="none"/>
          <w:u w:val="none"/>
        </w:rPr>
        <w:t>1.</w:t>
      </w:r>
      <w:r>
        <w:rPr>
          <w:rFonts w:hint="eastAsia"/>
          <w:color w:val="auto"/>
          <w:szCs w:val="21"/>
          <w:highlight w:val="none"/>
          <w:u w:val="none"/>
        </w:rPr>
        <w:t>基金、本基金、本私募基金：指睿璞投资-睿洪三号私募证券投资基金。</w:t>
      </w:r>
    </w:p>
    <w:p>
      <w:pPr>
        <w:pStyle w:val="81"/>
        <w:rPr>
          <w:color w:val="auto"/>
          <w:szCs w:val="21"/>
          <w:highlight w:val="none"/>
          <w:u w:val="none"/>
        </w:rPr>
      </w:pPr>
      <w:r>
        <w:rPr>
          <w:color w:val="auto"/>
          <w:szCs w:val="21"/>
          <w:highlight w:val="none"/>
          <w:u w:val="none"/>
        </w:rPr>
        <w:t>2.</w:t>
      </w:r>
      <w:r>
        <w:rPr>
          <w:rFonts w:hint="eastAsia"/>
          <w:color w:val="auto"/>
          <w:szCs w:val="21"/>
          <w:highlight w:val="none"/>
          <w:u w:val="none"/>
        </w:rPr>
        <w:t>本基金合同、基金合同、本合同：指投资者、管理人及托管人签署的《睿璞投资-睿洪三号私募证券投资基金基金合同》、其附件及对该合同及附件的任何修订和补充。</w:t>
      </w:r>
    </w:p>
    <w:p>
      <w:pPr>
        <w:pStyle w:val="81"/>
        <w:rPr>
          <w:color w:val="auto"/>
          <w:szCs w:val="21"/>
          <w:highlight w:val="none"/>
          <w:u w:val="none"/>
        </w:rPr>
      </w:pPr>
      <w:r>
        <w:rPr>
          <w:color w:val="auto"/>
          <w:szCs w:val="21"/>
          <w:highlight w:val="none"/>
          <w:u w:val="none"/>
        </w:rPr>
        <w:t>3.</w:t>
      </w:r>
      <w:r>
        <w:rPr>
          <w:rFonts w:hint="eastAsia"/>
          <w:color w:val="auto"/>
          <w:szCs w:val="21"/>
          <w:highlight w:val="none"/>
          <w:u w:val="none"/>
        </w:rPr>
        <w:t>风险揭示书：指《睿璞投资-睿洪三号私募证券投资基金风险揭示书》。</w:t>
      </w:r>
    </w:p>
    <w:p>
      <w:pPr>
        <w:pStyle w:val="81"/>
        <w:rPr>
          <w:color w:val="auto"/>
          <w:szCs w:val="21"/>
          <w:highlight w:val="none"/>
          <w:u w:val="none"/>
        </w:rPr>
      </w:pPr>
      <w:r>
        <w:rPr>
          <w:color w:val="auto"/>
          <w:szCs w:val="21"/>
          <w:highlight w:val="none"/>
          <w:u w:val="none"/>
        </w:rPr>
        <w:t>4.</w:t>
      </w:r>
      <w:r>
        <w:rPr>
          <w:rFonts w:hint="eastAsia"/>
          <w:color w:val="auto"/>
          <w:szCs w:val="21"/>
          <w:highlight w:val="none"/>
          <w:u w:val="none"/>
        </w:rPr>
        <w:t>基金文件：指本基金合同和风险揭示书的统称。</w:t>
      </w:r>
    </w:p>
    <w:p>
      <w:pPr>
        <w:pStyle w:val="81"/>
        <w:rPr>
          <w:color w:val="auto"/>
          <w:highlight w:val="none"/>
          <w:u w:val="none"/>
        </w:rPr>
      </w:pPr>
      <w:r>
        <w:rPr>
          <w:color w:val="auto"/>
          <w:highlight w:val="none"/>
          <w:u w:val="none"/>
        </w:rPr>
        <w:t>5.</w:t>
      </w:r>
      <w:r>
        <w:rPr>
          <w:rFonts w:hint="eastAsia"/>
          <w:color w:val="auto"/>
          <w:highlight w:val="none"/>
          <w:u w:val="none"/>
        </w:rPr>
        <w:t>管理人、基金管理人：指广东睿璞投资管理有限公司。</w:t>
      </w:r>
    </w:p>
    <w:p>
      <w:pPr>
        <w:pStyle w:val="81"/>
        <w:rPr>
          <w:color w:val="auto"/>
          <w:highlight w:val="none"/>
          <w:u w:val="none"/>
        </w:rPr>
      </w:pPr>
      <w:r>
        <w:rPr>
          <w:color w:val="auto"/>
          <w:highlight w:val="none"/>
          <w:u w:val="none"/>
        </w:rPr>
        <w:t>6.</w:t>
      </w:r>
      <w:r>
        <w:rPr>
          <w:rFonts w:hint="eastAsia"/>
          <w:color w:val="auto"/>
          <w:highlight w:val="none"/>
          <w:u w:val="none"/>
        </w:rPr>
        <w:t>托管人、基金托管人：指国信证券股份有限公司。</w:t>
      </w:r>
    </w:p>
    <w:p>
      <w:pPr>
        <w:pStyle w:val="81"/>
        <w:rPr>
          <w:color w:val="auto"/>
          <w:highlight w:val="none"/>
          <w:u w:val="none"/>
        </w:rPr>
      </w:pPr>
      <w:r>
        <w:rPr>
          <w:color w:val="auto"/>
          <w:highlight w:val="none"/>
          <w:u w:val="none"/>
        </w:rPr>
        <w:t>7.</w:t>
      </w:r>
      <w:r>
        <w:rPr>
          <w:rFonts w:hint="eastAsia"/>
          <w:color w:val="auto"/>
          <w:highlight w:val="none"/>
          <w:u w:val="none"/>
        </w:rPr>
        <w:t>代销机构：指取得基金销售业务资格且受管理人委托代为办理本基金份额销售的机构。</w:t>
      </w:r>
    </w:p>
    <w:p>
      <w:pPr>
        <w:pStyle w:val="81"/>
        <w:rPr>
          <w:color w:val="auto"/>
          <w:highlight w:val="none"/>
          <w:u w:val="none"/>
        </w:rPr>
      </w:pPr>
      <w:r>
        <w:rPr>
          <w:color w:val="auto"/>
          <w:highlight w:val="none"/>
          <w:u w:val="none"/>
        </w:rPr>
        <w:t>8.</w:t>
      </w:r>
      <w:r>
        <w:rPr>
          <w:rFonts w:hint="eastAsia"/>
          <w:color w:val="auto"/>
          <w:highlight w:val="none"/>
          <w:u w:val="none"/>
        </w:rPr>
        <w:t>募集机构：指管理人及代销机构的统称。</w:t>
      </w:r>
    </w:p>
    <w:p>
      <w:pPr>
        <w:pStyle w:val="81"/>
        <w:rPr>
          <w:color w:val="auto"/>
          <w:highlight w:val="none"/>
          <w:u w:val="none"/>
        </w:rPr>
      </w:pPr>
      <w:r>
        <w:rPr>
          <w:color w:val="auto"/>
          <w:highlight w:val="none"/>
          <w:u w:val="none"/>
        </w:rPr>
        <w:t>9.</w:t>
      </w:r>
      <w:r>
        <w:rPr>
          <w:rFonts w:hint="eastAsia"/>
          <w:color w:val="auto"/>
          <w:highlight w:val="none"/>
          <w:u w:val="none"/>
        </w:rPr>
        <w:t>注册登记机构：指为本基金办理基金份额注册登记业务的机构。</w:t>
      </w:r>
    </w:p>
    <w:p>
      <w:pPr>
        <w:pStyle w:val="81"/>
        <w:rPr>
          <w:color w:val="auto"/>
          <w:highlight w:val="none"/>
          <w:u w:val="none"/>
        </w:rPr>
      </w:pPr>
      <w:r>
        <w:rPr>
          <w:color w:val="auto"/>
          <w:highlight w:val="none"/>
          <w:u w:val="none"/>
        </w:rPr>
        <w:t>10.</w:t>
      </w:r>
      <w:r>
        <w:rPr>
          <w:rFonts w:hint="eastAsia"/>
          <w:color w:val="auto"/>
          <w:highlight w:val="none"/>
          <w:u w:val="none"/>
        </w:rPr>
        <w:t>外包服务机构：指接受管理人委托，根据管理人与其签订的外包服务协议约定的服务范围，为本基金提供外包服务的机构。</w:t>
      </w:r>
    </w:p>
    <w:p>
      <w:pPr>
        <w:pStyle w:val="81"/>
        <w:rPr>
          <w:color w:val="auto"/>
          <w:highlight w:val="none"/>
          <w:u w:val="none"/>
        </w:rPr>
      </w:pPr>
      <w:r>
        <w:rPr>
          <w:color w:val="auto"/>
          <w:highlight w:val="none"/>
          <w:u w:val="none"/>
        </w:rPr>
        <w:t>11.</w:t>
      </w:r>
      <w:r>
        <w:rPr>
          <w:rFonts w:hint="eastAsia"/>
          <w:color w:val="auto"/>
          <w:highlight w:val="none"/>
          <w:u w:val="none"/>
        </w:rPr>
        <w:t>投资者、基金份额持有人、份额持有人：指签署本合同并按本合同约定交付认购/申购资金、取得基金份额的投资者。</w:t>
      </w:r>
    </w:p>
    <w:p>
      <w:pPr>
        <w:pStyle w:val="81"/>
        <w:rPr>
          <w:color w:val="auto"/>
          <w:szCs w:val="21"/>
          <w:highlight w:val="none"/>
          <w:u w:val="none"/>
        </w:rPr>
      </w:pPr>
      <w:r>
        <w:rPr>
          <w:color w:val="auto"/>
          <w:szCs w:val="21"/>
          <w:highlight w:val="none"/>
          <w:u w:val="none"/>
        </w:rPr>
        <w:t>12.</w:t>
      </w:r>
      <w:r>
        <w:rPr>
          <w:rFonts w:hint="eastAsia"/>
          <w:color w:val="auto"/>
          <w:szCs w:val="21"/>
          <w:highlight w:val="none"/>
          <w:u w:val="none"/>
        </w:rPr>
        <w:t>合格投资者：指符合《私募投资基金监督管理暂行办法》第十二条、第十三条规定的单位和个人投资者。</w:t>
      </w:r>
    </w:p>
    <w:p>
      <w:pPr>
        <w:pStyle w:val="81"/>
        <w:rPr>
          <w:color w:val="auto"/>
          <w:szCs w:val="21"/>
          <w:highlight w:val="none"/>
          <w:u w:val="none"/>
        </w:rPr>
      </w:pPr>
      <w:r>
        <w:rPr>
          <w:color w:val="auto"/>
          <w:szCs w:val="21"/>
          <w:highlight w:val="none"/>
          <w:u w:val="none"/>
        </w:rPr>
        <w:t>13.</w:t>
      </w:r>
      <w:r>
        <w:rPr>
          <w:rFonts w:hint="eastAsia"/>
          <w:color w:val="auto"/>
          <w:szCs w:val="21"/>
          <w:highlight w:val="none"/>
          <w:u w:val="none"/>
        </w:rPr>
        <w:t>基金财产：指本基金项下的所有财产，包括但不限于：（1）投资者认购或申购本基金份额而交付的投资本金；（2）管理人因基金财产的管理、运用、处分或者其它情形而取得的财产。基金财产独立于管理人、托管人的固有财产及其所管理、托管的其他资产。</w:t>
      </w:r>
    </w:p>
    <w:p>
      <w:pPr>
        <w:pStyle w:val="81"/>
        <w:rPr>
          <w:color w:val="auto"/>
          <w:szCs w:val="21"/>
          <w:highlight w:val="none"/>
          <w:u w:val="none"/>
        </w:rPr>
      </w:pPr>
      <w:r>
        <w:rPr>
          <w:color w:val="auto"/>
          <w:szCs w:val="21"/>
          <w:highlight w:val="none"/>
          <w:u w:val="none"/>
        </w:rPr>
        <w:t>14.</w:t>
      </w:r>
      <w:r>
        <w:rPr>
          <w:rFonts w:hint="eastAsia"/>
          <w:color w:val="auto"/>
          <w:szCs w:val="21"/>
          <w:highlight w:val="none"/>
          <w:u w:val="none"/>
        </w:rPr>
        <w:t>基金份额、份额：指用于计算、衡量投资者获取本基金财产权益，并承担相应风险的计量单位。基金成立时，每份基金份额的初始销售面值为人民币1元。</w:t>
      </w:r>
    </w:p>
    <w:p>
      <w:pPr>
        <w:pStyle w:val="81"/>
        <w:rPr>
          <w:color w:val="auto"/>
          <w:szCs w:val="21"/>
          <w:highlight w:val="none"/>
          <w:u w:val="none"/>
        </w:rPr>
      </w:pPr>
      <w:r>
        <w:rPr>
          <w:color w:val="auto"/>
          <w:szCs w:val="21"/>
          <w:highlight w:val="none"/>
          <w:u w:val="none"/>
        </w:rPr>
        <w:t>15.</w:t>
      </w:r>
      <w:r>
        <w:rPr>
          <w:rFonts w:hint="eastAsia"/>
          <w:color w:val="auto"/>
          <w:szCs w:val="21"/>
          <w:highlight w:val="none"/>
          <w:u w:val="none"/>
        </w:rPr>
        <w:t>基金财产净值：指本基金资产总值减去负债后的价值。</w:t>
      </w:r>
    </w:p>
    <w:p>
      <w:pPr>
        <w:pStyle w:val="81"/>
        <w:rPr>
          <w:color w:val="auto"/>
          <w:szCs w:val="21"/>
          <w:highlight w:val="none"/>
          <w:u w:val="none"/>
        </w:rPr>
      </w:pPr>
      <w:r>
        <w:rPr>
          <w:color w:val="auto"/>
          <w:szCs w:val="21"/>
          <w:highlight w:val="none"/>
          <w:u w:val="none"/>
        </w:rPr>
        <w:t>16.</w:t>
      </w:r>
      <w:r>
        <w:rPr>
          <w:rFonts w:hint="eastAsia"/>
          <w:color w:val="auto"/>
          <w:szCs w:val="21"/>
          <w:highlight w:val="none"/>
          <w:u w:val="none"/>
        </w:rPr>
        <w:t>基金份额净值：T日基金份额净值＝T日基金财产净值÷T日基金份额总数（T日为估值核对日）。</w:t>
      </w:r>
    </w:p>
    <w:p>
      <w:pPr>
        <w:pStyle w:val="81"/>
        <w:rPr>
          <w:color w:val="auto"/>
          <w:highlight w:val="none"/>
          <w:u w:val="none"/>
        </w:rPr>
      </w:pPr>
      <w:r>
        <w:rPr>
          <w:color w:val="auto"/>
          <w:highlight w:val="none"/>
          <w:u w:val="none"/>
        </w:rPr>
        <w:t>17.</w:t>
      </w:r>
      <w:r>
        <w:rPr>
          <w:rFonts w:hint="eastAsia"/>
          <w:color w:val="auto"/>
          <w:highlight w:val="none"/>
          <w:u w:val="none"/>
        </w:rPr>
        <w:t>基金参考份额净值：指在基金份额净值计算的基础上，采用“虚拟清算”原则计算得到的本基金份额估计价值。基金份额参考净值是对基金份额价值的一个估计，并不代表基金份额持有人可获得的实际价值。本基金的基金参考份额净值由管理人自行估算，托管人和外包服务机构不对其进行复核，也不对其准确性承担任何责任。</w:t>
      </w:r>
    </w:p>
    <w:p>
      <w:pPr>
        <w:pStyle w:val="81"/>
        <w:rPr>
          <w:color w:val="auto"/>
          <w:highlight w:val="none"/>
          <w:u w:val="none"/>
        </w:rPr>
      </w:pPr>
      <w:bookmarkStart w:id="14" w:name="_Toc258149310"/>
      <w:r>
        <w:rPr>
          <w:color w:val="auto"/>
          <w:highlight w:val="none"/>
          <w:u w:val="none"/>
        </w:rPr>
        <w:t>18.</w:t>
      </w:r>
      <w:r>
        <w:rPr>
          <w:rFonts w:hint="eastAsia"/>
          <w:color w:val="auto"/>
          <w:highlight w:val="none"/>
          <w:u w:val="none"/>
        </w:rPr>
        <w:t>基金份额累计净值：指基金份额净值和基金历史上累计份额派息金额之和。</w:t>
      </w:r>
    </w:p>
    <w:p>
      <w:pPr>
        <w:pStyle w:val="81"/>
        <w:rPr>
          <w:color w:val="auto"/>
          <w:highlight w:val="none"/>
          <w:u w:val="none"/>
        </w:rPr>
      </w:pPr>
      <w:r>
        <w:rPr>
          <w:color w:val="auto"/>
          <w:highlight w:val="none"/>
          <w:u w:val="none"/>
        </w:rPr>
        <w:t>19.</w:t>
      </w:r>
      <w:r>
        <w:rPr>
          <w:rFonts w:hint="eastAsia"/>
          <w:color w:val="auto"/>
          <w:highlight w:val="none"/>
          <w:u w:val="none"/>
        </w:rPr>
        <w:t>托管账户：指基金托管人为本基金在具有基金托管资格的商业银行开立的银行结算账户。</w:t>
      </w:r>
    </w:p>
    <w:p>
      <w:pPr>
        <w:pStyle w:val="81"/>
        <w:rPr>
          <w:color w:val="auto"/>
          <w:highlight w:val="none"/>
          <w:u w:val="none"/>
        </w:rPr>
      </w:pPr>
      <w:r>
        <w:rPr>
          <w:color w:val="auto"/>
          <w:highlight w:val="none"/>
          <w:u w:val="none"/>
        </w:rPr>
        <w:t>20.</w:t>
      </w:r>
      <w:r>
        <w:rPr>
          <w:rFonts w:hint="eastAsia"/>
          <w:color w:val="auto"/>
          <w:highlight w:val="none"/>
          <w:u w:val="none"/>
        </w:rPr>
        <w:t>证券账户：根据中国证监会有关规定和中国证券登记结算有限责任公司（下称“中国结算”）等相关机构的有关业务规则，为基金财产在中国结算上海分公司、深圳分公司开设的证券账户。</w:t>
      </w:r>
    </w:p>
    <w:p>
      <w:pPr>
        <w:pStyle w:val="81"/>
        <w:rPr>
          <w:color w:val="auto"/>
          <w:highlight w:val="none"/>
          <w:u w:val="none"/>
        </w:rPr>
      </w:pPr>
      <w:r>
        <w:rPr>
          <w:color w:val="auto"/>
          <w:highlight w:val="none"/>
          <w:u w:val="none"/>
        </w:rPr>
        <w:t>21.</w:t>
      </w:r>
      <w:r>
        <w:rPr>
          <w:rFonts w:hint="eastAsia"/>
          <w:color w:val="auto"/>
          <w:highlight w:val="none"/>
          <w:u w:val="none"/>
        </w:rPr>
        <w:t>证券交易资金账户：管理人为基金财产在证券经纪机构下属的证券营业部开立的证券交易资金账户，用于基金财产证券交易结算资金的存管、记载交易结算资金的变动明细以及场内证券交易清算。证券交易资金账户按照“第三方存管</w:t>
      </w:r>
      <w:r>
        <w:rPr>
          <w:color w:val="auto"/>
          <w:highlight w:val="none"/>
          <w:u w:val="none"/>
        </w:rPr>
        <w:t>”</w:t>
      </w:r>
      <w:r>
        <w:rPr>
          <w:rFonts w:hint="eastAsia"/>
          <w:color w:val="auto"/>
          <w:highlight w:val="none"/>
          <w:u w:val="none"/>
        </w:rPr>
        <w:t>模式与托管账户建立一一对应关系，由托管人通过银证转账的方式完成资金划付。</w:t>
      </w:r>
    </w:p>
    <w:p>
      <w:pPr>
        <w:pStyle w:val="81"/>
        <w:rPr>
          <w:color w:val="auto"/>
          <w:szCs w:val="21"/>
          <w:highlight w:val="none"/>
          <w:u w:val="none"/>
        </w:rPr>
      </w:pPr>
      <w:r>
        <w:rPr>
          <w:color w:val="auto"/>
          <w:szCs w:val="21"/>
          <w:highlight w:val="none"/>
          <w:u w:val="none"/>
        </w:rPr>
        <w:t>22.</w:t>
      </w:r>
      <w:r>
        <w:rPr>
          <w:rFonts w:hint="eastAsia"/>
          <w:color w:val="auto"/>
          <w:szCs w:val="21"/>
          <w:highlight w:val="none"/>
          <w:u w:val="none"/>
        </w:rPr>
        <w:t>期货账户：管理人为基金财产在期货经纪机构开立的期货保证金账户，用于基金财产期货交易结算资金的存管、记载交易结算资金的变动明细以及期货交易清算。期货保证金账户应与托管账户建立一一对应关系，由托管人通过银期转账的方式或其他约定的方式办理期货交易的出入金。</w:t>
      </w:r>
    </w:p>
    <w:p>
      <w:pPr>
        <w:pStyle w:val="81"/>
        <w:rPr>
          <w:color w:val="auto"/>
          <w:szCs w:val="21"/>
          <w:highlight w:val="none"/>
          <w:u w:val="none"/>
        </w:rPr>
      </w:pPr>
      <w:r>
        <w:rPr>
          <w:color w:val="auto"/>
          <w:szCs w:val="21"/>
          <w:highlight w:val="none"/>
          <w:u w:val="none"/>
        </w:rPr>
        <w:t>23.</w:t>
      </w:r>
      <w:r>
        <w:rPr>
          <w:rFonts w:hint="eastAsia"/>
          <w:color w:val="auto"/>
          <w:szCs w:val="21"/>
          <w:highlight w:val="none"/>
          <w:u w:val="none"/>
        </w:rPr>
        <w:t>募集账户：指管理人自行或委托外包服务机构开立的用于接收、存放初始销售期间或开放日/开放期投资者交付的认购/申购资金的人民币资金账户。</w:t>
      </w:r>
    </w:p>
    <w:p>
      <w:pPr>
        <w:pStyle w:val="81"/>
        <w:rPr>
          <w:color w:val="auto"/>
          <w:szCs w:val="21"/>
          <w:highlight w:val="none"/>
          <w:u w:val="none"/>
        </w:rPr>
      </w:pPr>
      <w:r>
        <w:rPr>
          <w:color w:val="auto"/>
          <w:szCs w:val="21"/>
          <w:highlight w:val="none"/>
          <w:u w:val="none"/>
        </w:rPr>
        <w:t>24.</w:t>
      </w:r>
      <w:r>
        <w:rPr>
          <w:rFonts w:hint="eastAsia"/>
          <w:color w:val="auto"/>
          <w:szCs w:val="21"/>
          <w:highlight w:val="none"/>
          <w:u w:val="none"/>
        </w:rPr>
        <w:t>代销归集户：指管理人委托的代销机构（如有）开立的人民币资金账户，用于接收、存放初始销售期间或开放日/开放期内，通过该代销机构认购/申购基金份额投资者所交付的认购/申购资金。</w:t>
      </w:r>
    </w:p>
    <w:p>
      <w:pPr>
        <w:pStyle w:val="81"/>
        <w:rPr>
          <w:color w:val="auto"/>
          <w:highlight w:val="none"/>
          <w:u w:val="none"/>
        </w:rPr>
      </w:pPr>
      <w:r>
        <w:rPr>
          <w:color w:val="auto"/>
          <w:highlight w:val="none"/>
          <w:u w:val="none"/>
        </w:rPr>
        <w:t>25.</w:t>
      </w:r>
      <w:r>
        <w:rPr>
          <w:rFonts w:hint="eastAsia"/>
          <w:color w:val="auto"/>
          <w:highlight w:val="none"/>
          <w:u w:val="none"/>
        </w:rPr>
        <w:t>初始销售期、初始销售期间：指本基金的初始销售期限。管理人可根据基金份额的认购情况，决定延长或缩短初始销售期间，并在管理人网站公告。</w:t>
      </w:r>
    </w:p>
    <w:p>
      <w:pPr>
        <w:pStyle w:val="81"/>
        <w:rPr>
          <w:color w:val="auto"/>
          <w:highlight w:val="none"/>
          <w:u w:val="none"/>
        </w:rPr>
      </w:pPr>
      <w:r>
        <w:rPr>
          <w:color w:val="auto"/>
          <w:highlight w:val="none"/>
          <w:u w:val="none"/>
        </w:rPr>
        <w:t>26.</w:t>
      </w:r>
      <w:r>
        <w:rPr>
          <w:rFonts w:hint="eastAsia"/>
          <w:color w:val="auto"/>
          <w:highlight w:val="none"/>
          <w:u w:val="none"/>
        </w:rPr>
        <w:t>存续期、存续期限：指基金成立日起至本基金终止日的期间。</w:t>
      </w:r>
    </w:p>
    <w:p>
      <w:pPr>
        <w:pStyle w:val="81"/>
        <w:rPr>
          <w:color w:val="auto"/>
          <w:highlight w:val="none"/>
          <w:u w:val="none"/>
        </w:rPr>
      </w:pPr>
      <w:r>
        <w:rPr>
          <w:color w:val="auto"/>
          <w:highlight w:val="none"/>
          <w:u w:val="none"/>
        </w:rPr>
        <w:t>27.</w:t>
      </w:r>
      <w:r>
        <w:rPr>
          <w:rFonts w:hint="eastAsia"/>
          <w:color w:val="auto"/>
          <w:highlight w:val="none"/>
          <w:u w:val="none"/>
        </w:rPr>
        <w:t>开放日/开放期：指管理人正式受理基金申购或赎回业务的工作日，包括固定开放日和临时开放日。</w:t>
      </w:r>
    </w:p>
    <w:p>
      <w:pPr>
        <w:pStyle w:val="81"/>
        <w:rPr>
          <w:color w:val="auto"/>
          <w:highlight w:val="none"/>
          <w:u w:val="none"/>
        </w:rPr>
      </w:pPr>
      <w:r>
        <w:rPr>
          <w:color w:val="auto"/>
          <w:highlight w:val="none"/>
          <w:u w:val="none"/>
        </w:rPr>
        <w:t>28.</w:t>
      </w:r>
      <w:r>
        <w:rPr>
          <w:rFonts w:hint="eastAsia"/>
          <w:color w:val="auto"/>
          <w:highlight w:val="none"/>
          <w:u w:val="none"/>
        </w:rPr>
        <w:t>基金成立日、合同生效日：指本合同约定的成立条件均获满足后，管理人宣布的本基金成立之日。</w:t>
      </w:r>
    </w:p>
    <w:p>
      <w:pPr>
        <w:pStyle w:val="81"/>
        <w:rPr>
          <w:color w:val="auto"/>
          <w:highlight w:val="none"/>
          <w:u w:val="none"/>
        </w:rPr>
      </w:pPr>
      <w:r>
        <w:rPr>
          <w:color w:val="auto"/>
          <w:highlight w:val="none"/>
          <w:u w:val="none"/>
        </w:rPr>
        <w:t>29.</w:t>
      </w:r>
      <w:r>
        <w:rPr>
          <w:rFonts w:hint="eastAsia"/>
          <w:color w:val="auto"/>
          <w:highlight w:val="none"/>
          <w:u w:val="none"/>
        </w:rPr>
        <w:t>基金终止日、合同终止日：指本基金/本合同根据本合同约定终止之日。</w:t>
      </w:r>
    </w:p>
    <w:p>
      <w:pPr>
        <w:pStyle w:val="81"/>
        <w:rPr>
          <w:color w:val="auto"/>
          <w:highlight w:val="none"/>
          <w:u w:val="none"/>
        </w:rPr>
      </w:pPr>
      <w:r>
        <w:rPr>
          <w:color w:val="auto"/>
          <w:highlight w:val="none"/>
          <w:u w:val="none"/>
        </w:rPr>
        <w:t>30.</w:t>
      </w:r>
      <w:r>
        <w:rPr>
          <w:rFonts w:hint="eastAsia"/>
          <w:color w:val="auto"/>
          <w:highlight w:val="none"/>
          <w:u w:val="none"/>
        </w:rPr>
        <w:t>认购：指在初始销售期间，投资者按照本合同的约定购买本基金份额的行为。</w:t>
      </w:r>
    </w:p>
    <w:p>
      <w:pPr>
        <w:pStyle w:val="81"/>
        <w:rPr>
          <w:color w:val="auto"/>
          <w:highlight w:val="none"/>
          <w:u w:val="none"/>
        </w:rPr>
      </w:pPr>
      <w:r>
        <w:rPr>
          <w:color w:val="auto"/>
          <w:highlight w:val="none"/>
          <w:u w:val="none"/>
        </w:rPr>
        <w:t>31.</w:t>
      </w:r>
      <w:r>
        <w:rPr>
          <w:rFonts w:hint="eastAsia"/>
          <w:color w:val="auto"/>
          <w:highlight w:val="none"/>
          <w:u w:val="none"/>
        </w:rPr>
        <w:t>申购：指在基金成立后的开放日（或开放期），投资者按照本合同的约定购买本基金份额的行为。</w:t>
      </w:r>
    </w:p>
    <w:p>
      <w:pPr>
        <w:pStyle w:val="81"/>
        <w:rPr>
          <w:color w:val="auto"/>
          <w:highlight w:val="none"/>
          <w:u w:val="none"/>
        </w:rPr>
      </w:pPr>
      <w:r>
        <w:rPr>
          <w:color w:val="auto"/>
          <w:highlight w:val="none"/>
          <w:u w:val="none"/>
        </w:rPr>
        <w:t>32.</w:t>
      </w:r>
      <w:r>
        <w:rPr>
          <w:rFonts w:hint="eastAsia"/>
          <w:color w:val="auto"/>
          <w:highlight w:val="none"/>
          <w:u w:val="none"/>
        </w:rPr>
        <w:t>赎回：指在基金成立后的开放日（或开放期），投资者按照本合同的规定将基金份额兑换为现金的行为。</w:t>
      </w:r>
    </w:p>
    <w:p>
      <w:pPr>
        <w:pStyle w:val="81"/>
        <w:rPr>
          <w:color w:val="auto"/>
          <w:highlight w:val="none"/>
          <w:u w:val="none"/>
        </w:rPr>
      </w:pPr>
      <w:r>
        <w:rPr>
          <w:color w:val="auto"/>
          <w:highlight w:val="none"/>
          <w:u w:val="none"/>
        </w:rPr>
        <w:t>33.</w:t>
      </w:r>
      <w:r>
        <w:rPr>
          <w:rFonts w:hint="eastAsia"/>
          <w:color w:val="auto"/>
          <w:highlight w:val="none"/>
          <w:u w:val="none"/>
        </w:rPr>
        <w:t>基金业协会、中国基金业协会：指中国证券投资基金业协会。</w:t>
      </w:r>
    </w:p>
    <w:p>
      <w:pPr>
        <w:pStyle w:val="81"/>
        <w:rPr>
          <w:color w:val="auto"/>
          <w:highlight w:val="none"/>
          <w:u w:val="none"/>
        </w:rPr>
      </w:pPr>
      <w:r>
        <w:rPr>
          <w:color w:val="auto"/>
          <w:highlight w:val="none"/>
          <w:u w:val="none"/>
        </w:rPr>
        <w:t>34.</w:t>
      </w:r>
      <w:r>
        <w:rPr>
          <w:rFonts w:hint="eastAsia"/>
          <w:color w:val="auto"/>
          <w:highlight w:val="none"/>
          <w:u w:val="none"/>
        </w:rPr>
        <w:t>中国证监会：指中国证券监督管理委员会。</w:t>
      </w:r>
    </w:p>
    <w:p>
      <w:pPr>
        <w:pStyle w:val="81"/>
        <w:rPr>
          <w:color w:val="auto"/>
          <w:highlight w:val="none"/>
          <w:u w:val="none"/>
        </w:rPr>
      </w:pPr>
      <w:r>
        <w:rPr>
          <w:color w:val="auto"/>
          <w:highlight w:val="none"/>
          <w:u w:val="none"/>
        </w:rPr>
        <w:t>35.</w:t>
      </w:r>
      <w:r>
        <w:rPr>
          <w:rFonts w:hint="eastAsia"/>
          <w:color w:val="auto"/>
          <w:highlight w:val="none"/>
          <w:u w:val="none"/>
        </w:rPr>
        <w:t>不可抗力：指本合同当事人不能预见、不能避免、不能克服，且在本合同签署之后发生的，使本合同当事人无法全部履行或无法部分履行本合同的任何事件，包括但不限于洪水、地震及其他自然灾害、战争、骚乱、火灾、政府征用或没收、法律法规变化、相关交易所非正常暂停或停止交易以及非当事人所引起或能控制的计算机系统、通讯系统、网络系统、电力系统故障或其他突发事件等情形。</w:t>
      </w:r>
    </w:p>
    <w:p>
      <w:pPr>
        <w:pStyle w:val="81"/>
        <w:rPr>
          <w:color w:val="auto"/>
          <w:szCs w:val="21"/>
          <w:highlight w:val="none"/>
          <w:u w:val="none"/>
        </w:rPr>
      </w:pPr>
      <w:r>
        <w:rPr>
          <w:color w:val="auto"/>
          <w:szCs w:val="21"/>
          <w:highlight w:val="none"/>
          <w:u w:val="none"/>
        </w:rPr>
        <w:t>36.</w:t>
      </w:r>
      <w:r>
        <w:rPr>
          <w:rFonts w:hint="eastAsia"/>
          <w:color w:val="auto"/>
          <w:szCs w:val="21"/>
          <w:highlight w:val="none"/>
          <w:u w:val="none"/>
        </w:rPr>
        <w:t>工作日：指上海证券交易所和深圳证券交易所的正常交易日。</w:t>
      </w:r>
    </w:p>
    <w:p>
      <w:pPr>
        <w:pStyle w:val="81"/>
        <w:rPr>
          <w:color w:val="auto"/>
          <w:szCs w:val="21"/>
          <w:highlight w:val="none"/>
          <w:u w:val="none"/>
        </w:rPr>
      </w:pPr>
      <w:r>
        <w:rPr>
          <w:color w:val="auto"/>
          <w:szCs w:val="21"/>
          <w:highlight w:val="none"/>
          <w:u w:val="none"/>
        </w:rPr>
        <w:t>37.</w:t>
      </w:r>
      <w:r>
        <w:rPr>
          <w:rFonts w:hint="eastAsia"/>
          <w:color w:val="auto"/>
          <w:szCs w:val="21"/>
          <w:highlight w:val="none"/>
          <w:u w:val="none"/>
        </w:rPr>
        <w:t>日：除非本合同另有约定，均指工作日。</w:t>
      </w:r>
    </w:p>
    <w:p>
      <w:pPr>
        <w:pStyle w:val="81"/>
        <w:rPr>
          <w:color w:val="auto"/>
          <w:szCs w:val="21"/>
          <w:highlight w:val="none"/>
          <w:u w:val="none"/>
        </w:rPr>
      </w:pPr>
      <w:r>
        <w:rPr>
          <w:color w:val="auto"/>
          <w:szCs w:val="21"/>
          <w:highlight w:val="none"/>
          <w:u w:val="none"/>
        </w:rPr>
        <w:t>38.</w:t>
      </w:r>
      <w:r>
        <w:rPr>
          <w:rFonts w:hint="eastAsia"/>
          <w:color w:val="auto"/>
          <w:szCs w:val="21"/>
          <w:highlight w:val="none"/>
          <w:u w:val="none"/>
        </w:rPr>
        <w:t>元：指人民币元。</w:t>
      </w:r>
    </w:p>
    <w:p>
      <w:pPr>
        <w:pStyle w:val="81"/>
        <w:rPr>
          <w:color w:val="auto"/>
          <w:szCs w:val="21"/>
          <w:highlight w:val="none"/>
          <w:u w:val="none"/>
        </w:rPr>
      </w:pPr>
      <w:r>
        <w:rPr>
          <w:color w:val="auto"/>
          <w:szCs w:val="21"/>
          <w:highlight w:val="none"/>
          <w:u w:val="none"/>
        </w:rPr>
        <w:t>39.</w:t>
      </w:r>
      <w:r>
        <w:rPr>
          <w:rFonts w:hint="eastAsia"/>
          <w:color w:val="auto"/>
          <w:szCs w:val="21"/>
          <w:highlight w:val="none"/>
          <w:u w:val="none"/>
        </w:rPr>
        <w:t>《暂行办法》：指《私募投资基金监督管理暂行办法》。</w:t>
      </w:r>
    </w:p>
    <w:p>
      <w:pPr>
        <w:pStyle w:val="81"/>
        <w:rPr>
          <w:color w:val="auto"/>
          <w:szCs w:val="21"/>
          <w:highlight w:val="none"/>
          <w:u w:val="none"/>
        </w:rPr>
      </w:pPr>
      <w:r>
        <w:rPr>
          <w:color w:val="auto"/>
          <w:szCs w:val="21"/>
          <w:highlight w:val="none"/>
          <w:u w:val="none"/>
        </w:rPr>
        <w:t>40.</w:t>
      </w:r>
      <w:r>
        <w:rPr>
          <w:rFonts w:hint="eastAsia"/>
          <w:color w:val="auto"/>
          <w:szCs w:val="21"/>
          <w:highlight w:val="none"/>
          <w:u w:val="none"/>
        </w:rPr>
        <w:t>《暂行规定》：指《证券期货经营机构私募资产管理业务运作管理暂行规定》。</w:t>
      </w:r>
    </w:p>
    <w:p>
      <w:pPr>
        <w:pStyle w:val="81"/>
        <w:rPr>
          <w:color w:val="auto"/>
          <w:szCs w:val="21"/>
          <w:highlight w:val="none"/>
          <w:u w:val="none"/>
        </w:rPr>
      </w:pPr>
      <w:r>
        <w:rPr>
          <w:color w:val="auto"/>
          <w:szCs w:val="21"/>
          <w:highlight w:val="none"/>
          <w:u w:val="none"/>
        </w:rPr>
        <w:t>41.</w:t>
      </w:r>
      <w:r>
        <w:rPr>
          <w:rFonts w:hint="eastAsia"/>
          <w:color w:val="auto"/>
          <w:szCs w:val="21"/>
          <w:highlight w:val="none"/>
          <w:u w:val="none"/>
        </w:rPr>
        <w:t>《募集办法》：指《私募投资基金募集行为管理办法》。</w:t>
      </w:r>
    </w:p>
    <w:p>
      <w:pPr>
        <w:pStyle w:val="81"/>
        <w:rPr>
          <w:color w:val="auto"/>
          <w:szCs w:val="21"/>
          <w:highlight w:val="none"/>
          <w:u w:val="none"/>
        </w:rPr>
      </w:pPr>
      <w:r>
        <w:rPr>
          <w:color w:val="auto"/>
          <w:szCs w:val="21"/>
          <w:highlight w:val="none"/>
          <w:u w:val="none"/>
        </w:rPr>
        <w:t>42.</w:t>
      </w:r>
      <w:r>
        <w:rPr>
          <w:rFonts w:hint="eastAsia"/>
          <w:color w:val="auto"/>
          <w:szCs w:val="21"/>
          <w:highlight w:val="none"/>
          <w:u w:val="none"/>
        </w:rPr>
        <w:t>法律法规：指中国现行有效并公布实施的法律、行政法规、规章、司法解释及监管部门的决定、通知等。</w:t>
      </w:r>
    </w:p>
    <w:p>
      <w:pPr>
        <w:pStyle w:val="81"/>
        <w:rPr>
          <w:color w:val="auto"/>
          <w:highlight w:val="none"/>
          <w:u w:val="none"/>
        </w:rPr>
      </w:pPr>
      <w:r>
        <w:rPr>
          <w:color w:val="auto"/>
          <w:highlight w:val="none"/>
          <w:u w:val="none"/>
        </w:rPr>
        <w:t>43.</w:t>
      </w:r>
      <w:r>
        <w:rPr>
          <w:rFonts w:hint="eastAsia"/>
          <w:color w:val="auto"/>
          <w:highlight w:val="none"/>
          <w:u w:val="none"/>
        </w:rPr>
        <w:t>中国：指中华人民共和国，为本合同之目的，不包括香港、澳门特别行政区及台湾地区。</w:t>
      </w:r>
    </w:p>
    <w:p>
      <w:pPr>
        <w:pStyle w:val="4"/>
        <w:snapToGrid/>
        <w:spacing w:beforeLines="100" w:afterLines="50"/>
        <w:rPr>
          <w:rFonts w:ascii="楷体" w:hAnsi="楷体" w:eastAsia="楷体"/>
          <w:color w:val="auto"/>
          <w:sz w:val="24"/>
          <w:highlight w:val="none"/>
          <w:u w:val="none"/>
        </w:rPr>
      </w:pPr>
      <w:bookmarkStart w:id="15" w:name="_Toc482974527"/>
      <w:r>
        <w:rPr>
          <w:rFonts w:ascii="楷体" w:hAnsi="楷体" w:eastAsia="楷体"/>
          <w:color w:val="auto"/>
          <w:sz w:val="24"/>
          <w:highlight w:val="none"/>
          <w:u w:val="none"/>
        </w:rPr>
        <w:t>第三节声明与承诺</w:t>
      </w:r>
      <w:bookmarkEnd w:id="14"/>
      <w:bookmarkEnd w:id="15"/>
    </w:p>
    <w:p>
      <w:pPr>
        <w:pStyle w:val="81"/>
        <w:rPr>
          <w:color w:val="auto"/>
          <w:highlight w:val="none"/>
          <w:u w:val="none"/>
        </w:rPr>
      </w:pPr>
      <w:r>
        <w:rPr>
          <w:color w:val="auto"/>
          <w:highlight w:val="none"/>
          <w:u w:val="none"/>
        </w:rPr>
        <w:t>(</w:t>
      </w:r>
      <w:r>
        <w:rPr>
          <w:rFonts w:hint="eastAsia"/>
          <w:color w:val="auto"/>
          <w:highlight w:val="none"/>
          <w:u w:val="none"/>
        </w:rPr>
        <w:t>一</w:t>
      </w:r>
      <w:r>
        <w:rPr>
          <w:color w:val="auto"/>
          <w:highlight w:val="none"/>
          <w:u w:val="none"/>
        </w:rPr>
        <w:t>)</w:t>
      </w:r>
      <w:r>
        <w:rPr>
          <w:rFonts w:hint="eastAsia"/>
          <w:color w:val="auto"/>
          <w:highlight w:val="none"/>
          <w:u w:val="none"/>
        </w:rPr>
        <w:t>投资者的声明与承诺</w:t>
      </w:r>
    </w:p>
    <w:p>
      <w:pPr>
        <w:pStyle w:val="81"/>
        <w:ind w:firstLine="422"/>
        <w:rPr>
          <w:b/>
          <w:color w:val="auto"/>
          <w:highlight w:val="none"/>
          <w:u w:val="none"/>
        </w:rPr>
      </w:pPr>
      <w:r>
        <w:rPr>
          <w:b/>
          <w:color w:val="auto"/>
          <w:highlight w:val="none"/>
          <w:u w:val="none"/>
        </w:rPr>
        <w:t>1.</w:t>
      </w:r>
      <w:r>
        <w:rPr>
          <w:rFonts w:hint="eastAsia"/>
          <w:b/>
          <w:color w:val="auto"/>
          <w:highlight w:val="none"/>
          <w:u w:val="none"/>
        </w:rPr>
        <w:t>投资者承诺其为符合《暂行办法》规定的合格投资者；</w:t>
      </w:r>
    </w:p>
    <w:p>
      <w:pPr>
        <w:pStyle w:val="81"/>
        <w:ind w:firstLine="422"/>
        <w:rPr>
          <w:b/>
          <w:color w:val="auto"/>
          <w:highlight w:val="none"/>
          <w:u w:val="none"/>
        </w:rPr>
      </w:pPr>
      <w:r>
        <w:rPr>
          <w:b/>
          <w:color w:val="auto"/>
          <w:highlight w:val="none"/>
          <w:u w:val="none"/>
        </w:rPr>
        <w:t>2.</w:t>
      </w:r>
      <w:r>
        <w:rPr>
          <w:rFonts w:hint="eastAsia"/>
          <w:b/>
          <w:color w:val="auto"/>
          <w:highlight w:val="none"/>
          <w:u w:val="none"/>
        </w:rPr>
        <w:t>投资者有完全及合法的权利委托管理人和托管人进行委托财产的投资管理和托管业务，没有任何其他限制性条件妨碍管理人和托管人对该委托财产行使相关权利且该权利不会为任何其他第三方所质疑；</w:t>
      </w:r>
    </w:p>
    <w:p>
      <w:pPr>
        <w:pStyle w:val="81"/>
        <w:ind w:firstLine="422"/>
        <w:rPr>
          <w:b/>
          <w:color w:val="auto"/>
          <w:highlight w:val="none"/>
          <w:u w:val="none"/>
        </w:rPr>
      </w:pPr>
      <w:r>
        <w:rPr>
          <w:b/>
          <w:color w:val="auto"/>
          <w:highlight w:val="none"/>
          <w:u w:val="none"/>
        </w:rPr>
        <w:t>3.</w:t>
      </w:r>
      <w:r>
        <w:rPr>
          <w:rFonts w:hint="eastAsia"/>
          <w:b/>
          <w:color w:val="auto"/>
          <w:highlight w:val="none"/>
          <w:u w:val="none"/>
        </w:rPr>
        <w:t>投资者已充分理解本合同全部条款，了解相关权利、义务，了解有关法律法规及所投资基金的风险收益特征，愿意承担相应的投资风险，且投资事项符合其内部决策程序的要求；</w:t>
      </w:r>
    </w:p>
    <w:p>
      <w:pPr>
        <w:pStyle w:val="81"/>
        <w:ind w:firstLine="422"/>
        <w:rPr>
          <w:b/>
          <w:color w:val="auto"/>
          <w:highlight w:val="none"/>
          <w:u w:val="none"/>
        </w:rPr>
      </w:pPr>
      <w:r>
        <w:rPr>
          <w:b/>
          <w:color w:val="auto"/>
          <w:highlight w:val="none"/>
          <w:u w:val="none"/>
        </w:rPr>
        <w:t>4.</w:t>
      </w:r>
      <w:r>
        <w:rPr>
          <w:rFonts w:hint="eastAsia"/>
          <w:b/>
          <w:color w:val="auto"/>
          <w:highlight w:val="none"/>
          <w:u w:val="none"/>
        </w:rPr>
        <w:t>投资者承诺其向募集机构提供的有关投资目的、投资偏好、投资限制和风险承受能力等基本情况真实、完整、准确、合法，不存在任何重大遗漏或误导。前述信息资料如发生任何实质性变更，应当及时书面告知募集机构；</w:t>
      </w:r>
    </w:p>
    <w:p>
      <w:pPr>
        <w:pStyle w:val="81"/>
        <w:ind w:firstLine="422"/>
        <w:rPr>
          <w:b/>
          <w:color w:val="auto"/>
          <w:highlight w:val="none"/>
          <w:u w:val="none"/>
        </w:rPr>
      </w:pPr>
      <w:r>
        <w:rPr>
          <w:b/>
          <w:color w:val="auto"/>
          <w:highlight w:val="none"/>
          <w:u w:val="none"/>
        </w:rPr>
        <w:t>5.</w:t>
      </w:r>
      <w:r>
        <w:rPr>
          <w:rFonts w:hint="eastAsia"/>
          <w:b/>
          <w:color w:val="auto"/>
          <w:highlight w:val="none"/>
          <w:u w:val="none"/>
        </w:rPr>
        <w:t>投资者承诺委托资金的来源及用途合法，不得非法汇集他人资金参与本基金；</w:t>
      </w:r>
    </w:p>
    <w:p>
      <w:pPr>
        <w:pStyle w:val="81"/>
        <w:ind w:firstLine="422"/>
        <w:rPr>
          <w:b/>
          <w:color w:val="auto"/>
          <w:highlight w:val="none"/>
          <w:u w:val="none"/>
        </w:rPr>
      </w:pPr>
      <w:r>
        <w:rPr>
          <w:b/>
          <w:color w:val="auto"/>
          <w:highlight w:val="none"/>
          <w:u w:val="none"/>
        </w:rPr>
        <w:t>6.</w:t>
      </w:r>
      <w:r>
        <w:rPr>
          <w:rFonts w:hint="eastAsia"/>
          <w:b/>
          <w:color w:val="auto"/>
          <w:highlight w:val="none"/>
          <w:u w:val="none"/>
        </w:rPr>
        <w:t>投资者知晓，管理人、托管人及相关机构不应对私募财产的收益状况做出任何承诺或担保。</w:t>
      </w:r>
    </w:p>
    <w:p>
      <w:pPr>
        <w:pStyle w:val="81"/>
        <w:rPr>
          <w:color w:val="auto"/>
          <w:highlight w:val="none"/>
          <w:u w:val="none"/>
        </w:rPr>
      </w:pPr>
      <w:r>
        <w:rPr>
          <w:rFonts w:hint="eastAsia"/>
          <w:color w:val="auto"/>
          <w:highlight w:val="none"/>
          <w:u w:val="none"/>
        </w:rPr>
        <w:t>(二)管理人的声明与承诺</w:t>
      </w:r>
    </w:p>
    <w:p>
      <w:pPr>
        <w:pStyle w:val="81"/>
        <w:ind w:firstLine="422"/>
        <w:rPr>
          <w:b/>
          <w:color w:val="auto"/>
          <w:highlight w:val="none"/>
          <w:u w:val="none"/>
        </w:rPr>
      </w:pPr>
      <w:r>
        <w:rPr>
          <w:b/>
          <w:color w:val="auto"/>
          <w:highlight w:val="none"/>
          <w:u w:val="none"/>
        </w:rPr>
        <w:t>1.</w:t>
      </w:r>
      <w:r>
        <w:rPr>
          <w:rFonts w:hint="eastAsia"/>
          <w:b/>
          <w:color w:val="auto"/>
          <w:highlight w:val="none"/>
          <w:u w:val="none"/>
        </w:rPr>
        <w:t>管理人已在基金业协会登记为私募基金管理人（管理人登记编码为：P1022700）；</w:t>
      </w:r>
    </w:p>
    <w:p>
      <w:pPr>
        <w:pStyle w:val="81"/>
        <w:ind w:firstLine="422"/>
        <w:rPr>
          <w:b/>
          <w:color w:val="auto"/>
          <w:highlight w:val="none"/>
          <w:u w:val="none"/>
        </w:rPr>
      </w:pPr>
      <w:r>
        <w:rPr>
          <w:b/>
          <w:color w:val="auto"/>
          <w:highlight w:val="none"/>
          <w:u w:val="none"/>
        </w:rPr>
        <w:t>2.</w:t>
      </w:r>
      <w:r>
        <w:rPr>
          <w:rFonts w:hint="eastAsia"/>
          <w:b/>
          <w:color w:val="auto"/>
          <w:highlight w:val="none"/>
          <w:u w:val="none"/>
        </w:rPr>
        <w:t>管理人声明：基金业协会为管理人和本基金办理登记备案不构成对管理人投资能力、持续合规情况的认可，不作为对基金财产安全的保证；</w:t>
      </w:r>
    </w:p>
    <w:p>
      <w:pPr>
        <w:pStyle w:val="81"/>
        <w:ind w:firstLine="422"/>
        <w:rPr>
          <w:b/>
          <w:color w:val="auto"/>
          <w:highlight w:val="none"/>
          <w:u w:val="none"/>
        </w:rPr>
      </w:pPr>
      <w:r>
        <w:rPr>
          <w:b/>
          <w:color w:val="auto"/>
          <w:highlight w:val="none"/>
          <w:u w:val="none"/>
        </w:rPr>
        <w:t>3.</w:t>
      </w:r>
      <w:r>
        <w:rPr>
          <w:rFonts w:hint="eastAsia"/>
          <w:b/>
          <w:color w:val="auto"/>
          <w:highlight w:val="none"/>
          <w:u w:val="none"/>
        </w:rPr>
        <w:t>管理人保证已在签订本合同前充分地向投资者说明了有关法律法规和相关投资工具的运作市场及方式，同时揭示了相关风险；</w:t>
      </w:r>
    </w:p>
    <w:p>
      <w:pPr>
        <w:pStyle w:val="81"/>
        <w:ind w:firstLine="422"/>
        <w:rPr>
          <w:b/>
          <w:color w:val="auto"/>
          <w:highlight w:val="none"/>
          <w:u w:val="none"/>
        </w:rPr>
      </w:pPr>
      <w:r>
        <w:rPr>
          <w:b/>
          <w:color w:val="auto"/>
          <w:highlight w:val="none"/>
          <w:u w:val="none"/>
        </w:rPr>
        <w:t>4.</w:t>
      </w:r>
      <w:r>
        <w:rPr>
          <w:rFonts w:hint="eastAsia"/>
          <w:b/>
          <w:color w:val="auto"/>
          <w:highlight w:val="none"/>
          <w:u w:val="none"/>
        </w:rPr>
        <w:t>管理人已经了解投资者的风险偏好、风险认知能力和承受能力，对投资者的财务状况进行了充分评估；</w:t>
      </w:r>
    </w:p>
    <w:p>
      <w:pPr>
        <w:pStyle w:val="81"/>
        <w:ind w:firstLine="422"/>
        <w:rPr>
          <w:b/>
          <w:color w:val="auto"/>
          <w:highlight w:val="none"/>
          <w:u w:val="none"/>
        </w:rPr>
      </w:pPr>
      <w:r>
        <w:rPr>
          <w:b/>
          <w:color w:val="auto"/>
          <w:highlight w:val="none"/>
          <w:u w:val="none"/>
        </w:rPr>
        <w:t>5.</w:t>
      </w:r>
      <w:r>
        <w:rPr>
          <w:rFonts w:hint="eastAsia"/>
          <w:b/>
          <w:color w:val="auto"/>
          <w:highlight w:val="none"/>
          <w:u w:val="none"/>
        </w:rPr>
        <w:t>管理人承诺按照恪尽职守、诚实信用、谨慎勤勉的原则管理和运用基金资产，但不对基金活动的盈利性和最低收益以及本金不受损失做出承诺；</w:t>
      </w:r>
    </w:p>
    <w:p>
      <w:pPr>
        <w:pStyle w:val="81"/>
        <w:ind w:firstLine="422"/>
        <w:rPr>
          <w:b/>
          <w:color w:val="auto"/>
          <w:highlight w:val="none"/>
          <w:u w:val="none"/>
        </w:rPr>
      </w:pPr>
      <w:r>
        <w:rPr>
          <w:b/>
          <w:color w:val="auto"/>
          <w:highlight w:val="none"/>
          <w:u w:val="none"/>
        </w:rPr>
        <w:t>6.</w:t>
      </w:r>
      <w:r>
        <w:rPr>
          <w:rFonts w:hint="eastAsia"/>
          <w:b/>
          <w:color w:val="auto"/>
          <w:highlight w:val="none"/>
          <w:u w:val="none"/>
        </w:rPr>
        <w:t>管理人承诺已向投资者明确介绍托管人所承担的职责与义务，未对托管人所承担的责任进行虚假宣传，不以托管人名义或利用托管人的商誉进行非法募集资金、承诺投资收益等违规活动。</w:t>
      </w:r>
    </w:p>
    <w:p>
      <w:pPr>
        <w:numPr>
          <w:ilvl w:val="0"/>
          <w:numId w:val="0"/>
        </w:numPr>
        <w:spacing w:line="360" w:lineRule="auto"/>
        <w:ind w:left="0" w:firstLine="420" w:firstLineChars="0"/>
        <w:rPr>
          <w:rFonts w:ascii="楷体" w:hAnsi="楷体" w:eastAsia="楷体"/>
          <w:color w:val="auto"/>
          <w:szCs w:val="21"/>
          <w:highlight w:val="none"/>
          <w:u w:val="none"/>
        </w:rPr>
      </w:pPr>
      <w:r>
        <w:rPr>
          <w:rFonts w:ascii="楷体" w:hAnsi="楷体" w:eastAsia="楷体"/>
          <w:color w:val="auto"/>
          <w:szCs w:val="21"/>
          <w:highlight w:val="none"/>
          <w:u w:val="none"/>
        </w:rPr>
        <w:t>(三)托管人的声明与承诺</w:t>
      </w:r>
    </w:p>
    <w:p>
      <w:pPr>
        <w:pStyle w:val="81"/>
        <w:ind w:firstLine="422"/>
        <w:rPr>
          <w:b/>
          <w:color w:val="auto"/>
          <w:highlight w:val="none"/>
          <w:u w:val="none"/>
        </w:rPr>
      </w:pPr>
      <w:r>
        <w:rPr>
          <w:b/>
          <w:color w:val="auto"/>
          <w:highlight w:val="none"/>
          <w:u w:val="none"/>
        </w:rPr>
        <w:t>1.</w:t>
      </w:r>
      <w:r>
        <w:rPr>
          <w:rFonts w:hint="eastAsia"/>
          <w:b/>
          <w:color w:val="auto"/>
          <w:highlight w:val="none"/>
          <w:u w:val="none"/>
        </w:rPr>
        <w:t>托管人承诺按照恪尽职守、诚实信用、谨慎勤勉的原则安全保管基金财产，并履行本合同约定的其他义务。</w:t>
      </w:r>
    </w:p>
    <w:p>
      <w:pPr>
        <w:pStyle w:val="81"/>
        <w:ind w:firstLine="422"/>
        <w:rPr>
          <w:b/>
          <w:color w:val="auto"/>
          <w:highlight w:val="none"/>
          <w:u w:val="none"/>
        </w:rPr>
      </w:pPr>
      <w:r>
        <w:rPr>
          <w:b/>
          <w:color w:val="auto"/>
          <w:highlight w:val="none"/>
          <w:u w:val="none"/>
        </w:rPr>
        <w:t>2.</w:t>
      </w:r>
      <w:r>
        <w:rPr>
          <w:rFonts w:hint="eastAsia"/>
          <w:b/>
          <w:color w:val="auto"/>
          <w:highlight w:val="none"/>
          <w:u w:val="none"/>
        </w:rPr>
        <w:t>托管人对基金财产的保管，并非对基金财产本金或收益的保证或承诺。托管人不保证基金资产本金不受损失或取得最低收益，亦不承担本基金的投资风险。管理人违背基金合同或相关法律文件的约定、处理基金事务不当使基金财产受到损失的，托管人不承担任何责任</w:t>
      </w:r>
      <w:r>
        <w:rPr>
          <w:rFonts w:hint="eastAsia"/>
          <w:b/>
          <w:color w:val="auto"/>
          <w:kern w:val="0"/>
          <w:highlight w:val="none"/>
          <w:u w:val="none"/>
        </w:rPr>
        <w:t>。</w:t>
      </w:r>
    </w:p>
    <w:p>
      <w:pPr>
        <w:pStyle w:val="81"/>
        <w:ind w:firstLine="422"/>
        <w:rPr>
          <w:b/>
          <w:color w:val="auto"/>
          <w:highlight w:val="none"/>
          <w:u w:val="none"/>
        </w:rPr>
      </w:pPr>
      <w:r>
        <w:rPr>
          <w:b/>
          <w:color w:val="auto"/>
          <w:highlight w:val="none"/>
          <w:u w:val="none"/>
        </w:rPr>
        <w:t>3.</w:t>
      </w:r>
      <w:r>
        <w:rPr>
          <w:rFonts w:hint="eastAsia"/>
          <w:b/>
          <w:color w:val="auto"/>
          <w:highlight w:val="none"/>
          <w:u w:val="none"/>
        </w:rPr>
        <w:t>托管人对本基金投资行为相关的尽职调查、风险评估、投资决策、投后管理或其投资回报不承担任何责任。托管人不承担任何因管理人投资所产生的有关责任，也不承担本基金投资产生的任何风险及损失。</w:t>
      </w:r>
    </w:p>
    <w:p>
      <w:pPr>
        <w:pStyle w:val="4"/>
        <w:snapToGrid/>
        <w:spacing w:beforeLines="100" w:afterLines="50"/>
        <w:rPr>
          <w:rFonts w:ascii="楷体" w:hAnsi="楷体" w:eastAsia="楷体"/>
          <w:color w:val="auto"/>
          <w:sz w:val="24"/>
          <w:szCs w:val="44"/>
          <w:highlight w:val="none"/>
          <w:u w:val="none"/>
        </w:rPr>
      </w:pPr>
      <w:bookmarkStart w:id="16" w:name="_Toc258149311"/>
      <w:bookmarkStart w:id="17" w:name="_Toc482974528"/>
      <w:r>
        <w:rPr>
          <w:rFonts w:ascii="楷体" w:hAnsi="楷体" w:eastAsia="楷体"/>
          <w:color w:val="auto"/>
          <w:sz w:val="24"/>
          <w:szCs w:val="44"/>
          <w:highlight w:val="none"/>
          <w:u w:val="none"/>
        </w:rPr>
        <w:t>第四节基金的基本情况</w:t>
      </w:r>
      <w:bookmarkEnd w:id="16"/>
      <w:bookmarkEnd w:id="17"/>
    </w:p>
    <w:p>
      <w:pPr>
        <w:pStyle w:val="81"/>
        <w:rPr>
          <w:color w:val="auto"/>
          <w:highlight w:val="none"/>
          <w:u w:val="none"/>
        </w:rPr>
      </w:pPr>
      <w:r>
        <w:rPr>
          <w:color w:val="auto"/>
          <w:highlight w:val="none"/>
          <w:u w:val="none"/>
        </w:rPr>
        <w:t>(</w:t>
      </w:r>
      <w:r>
        <w:rPr>
          <w:rFonts w:hint="eastAsia"/>
          <w:color w:val="auto"/>
          <w:highlight w:val="none"/>
          <w:u w:val="none"/>
        </w:rPr>
        <w:t>一</w:t>
      </w:r>
      <w:r>
        <w:rPr>
          <w:color w:val="auto"/>
          <w:highlight w:val="none"/>
          <w:u w:val="none"/>
        </w:rPr>
        <w:t>)</w:t>
      </w:r>
      <w:r>
        <w:rPr>
          <w:rFonts w:hint="eastAsia"/>
          <w:color w:val="auto"/>
          <w:highlight w:val="none"/>
          <w:u w:val="none"/>
        </w:rPr>
        <w:t>基金的名称</w:t>
      </w:r>
    </w:p>
    <w:p>
      <w:pPr>
        <w:pStyle w:val="81"/>
        <w:rPr>
          <w:color w:val="auto"/>
          <w:highlight w:val="none"/>
          <w:u w:val="none"/>
        </w:rPr>
      </w:pPr>
      <w:r>
        <w:rPr>
          <w:rFonts w:hint="eastAsia"/>
          <w:color w:val="auto"/>
          <w:highlight w:val="none"/>
          <w:u w:val="none"/>
        </w:rPr>
        <w:t>睿璞投资-睿洪三号私募证券投资基金。</w:t>
      </w:r>
    </w:p>
    <w:p>
      <w:pPr>
        <w:pStyle w:val="81"/>
        <w:rPr>
          <w:color w:val="auto"/>
          <w:highlight w:val="none"/>
          <w:u w:val="none"/>
        </w:rPr>
      </w:pPr>
      <w:r>
        <w:rPr>
          <w:rFonts w:hint="eastAsia"/>
          <w:color w:val="auto"/>
          <w:highlight w:val="none"/>
          <w:u w:val="none"/>
        </w:rPr>
        <w:t>(二)基金类型</w:t>
      </w:r>
    </w:p>
    <w:p>
      <w:pPr>
        <w:pStyle w:val="81"/>
        <w:rPr>
          <w:color w:val="auto"/>
          <w:highlight w:val="none"/>
          <w:u w:val="none"/>
        </w:rPr>
      </w:pPr>
      <w:r>
        <w:rPr>
          <w:rFonts w:hint="eastAsia"/>
          <w:color w:val="auto"/>
          <w:highlight w:val="none"/>
          <w:u w:val="none"/>
        </w:rPr>
        <w:t>本基金为私募证券投资基金。</w:t>
      </w:r>
    </w:p>
    <w:p>
      <w:pPr>
        <w:pStyle w:val="81"/>
        <w:rPr>
          <w:color w:val="auto"/>
          <w:highlight w:val="none"/>
          <w:u w:val="none"/>
        </w:rPr>
      </w:pPr>
      <w:r>
        <w:rPr>
          <w:rFonts w:hint="eastAsia"/>
          <w:color w:val="auto"/>
          <w:highlight w:val="none"/>
          <w:u w:val="none"/>
        </w:rPr>
        <w:t>(三)运作方式</w:t>
      </w:r>
    </w:p>
    <w:p>
      <w:pPr>
        <w:pStyle w:val="81"/>
        <w:rPr>
          <w:color w:val="auto"/>
          <w:highlight w:val="none"/>
          <w:u w:val="none"/>
        </w:rPr>
      </w:pPr>
      <w:r>
        <w:rPr>
          <w:rFonts w:hint="eastAsia"/>
          <w:color w:val="auto"/>
          <w:highlight w:val="none"/>
          <w:u w:val="none"/>
        </w:rPr>
        <w:t>定期开放。</w:t>
      </w:r>
    </w:p>
    <w:p>
      <w:pPr>
        <w:pStyle w:val="81"/>
        <w:rPr>
          <w:color w:val="auto"/>
          <w:highlight w:val="none"/>
          <w:u w:val="none"/>
        </w:rPr>
      </w:pPr>
      <w:r>
        <w:rPr>
          <w:rFonts w:hint="eastAsia"/>
          <w:color w:val="auto"/>
          <w:highlight w:val="none"/>
          <w:u w:val="none"/>
        </w:rPr>
        <w:t>(四)发行总规模</w:t>
      </w:r>
    </w:p>
    <w:p>
      <w:pPr>
        <w:pStyle w:val="81"/>
        <w:rPr>
          <w:color w:val="auto"/>
          <w:highlight w:val="none"/>
          <w:u w:val="none"/>
        </w:rPr>
      </w:pPr>
      <w:r>
        <w:rPr>
          <w:rFonts w:hint="eastAsia"/>
          <w:color w:val="auto"/>
          <w:highlight w:val="none"/>
          <w:u w:val="none"/>
        </w:rPr>
        <w:t>本基金预计发行总规模不低于</w:t>
      </w:r>
      <w:r>
        <w:rPr>
          <w:color w:val="auto"/>
          <w:highlight w:val="none"/>
          <w:u w:val="none"/>
        </w:rPr>
        <w:t>100</w:t>
      </w:r>
      <w:r>
        <w:rPr>
          <w:rFonts w:hint="eastAsia"/>
          <w:color w:val="auto"/>
          <w:highlight w:val="none"/>
          <w:u w:val="none"/>
        </w:rPr>
        <w:t>万元。具体以实际募集金额为准。</w:t>
      </w:r>
    </w:p>
    <w:p>
      <w:pPr>
        <w:pStyle w:val="81"/>
        <w:rPr>
          <w:color w:val="auto"/>
          <w:highlight w:val="none"/>
          <w:u w:val="none"/>
        </w:rPr>
      </w:pPr>
      <w:r>
        <w:rPr>
          <w:rFonts w:hint="eastAsia"/>
          <w:color w:val="auto"/>
          <w:highlight w:val="none"/>
          <w:u w:val="none"/>
        </w:rPr>
        <w:t>(五)投资目标</w:t>
      </w:r>
    </w:p>
    <w:p>
      <w:pPr>
        <w:pStyle w:val="81"/>
        <w:rPr>
          <w:color w:val="auto"/>
          <w:highlight w:val="none"/>
          <w:u w:val="none"/>
        </w:rPr>
      </w:pPr>
      <w:r>
        <w:rPr>
          <w:rFonts w:hint="eastAsia"/>
          <w:color w:val="auto"/>
          <w:highlight w:val="none"/>
          <w:u w:val="none"/>
        </w:rPr>
        <w:t>在控制风险的前提下，追求本基金财产的增值。</w:t>
      </w:r>
    </w:p>
    <w:p>
      <w:pPr>
        <w:pStyle w:val="81"/>
        <w:rPr>
          <w:color w:val="auto"/>
          <w:highlight w:val="none"/>
          <w:u w:val="none"/>
        </w:rPr>
      </w:pPr>
      <w:r>
        <w:rPr>
          <w:rFonts w:hint="eastAsia"/>
          <w:color w:val="auto"/>
          <w:highlight w:val="none"/>
          <w:u w:val="none"/>
        </w:rPr>
        <w:t>(六)投资范围</w:t>
      </w:r>
    </w:p>
    <w:p>
      <w:pPr>
        <w:pStyle w:val="81"/>
        <w:rPr>
          <w:color w:val="auto"/>
          <w:highlight w:val="none"/>
          <w:u w:val="none"/>
        </w:rPr>
      </w:pPr>
      <w:r>
        <w:rPr>
          <w:rFonts w:hint="eastAsia"/>
          <w:color w:val="auto"/>
          <w:highlight w:val="none"/>
          <w:u w:val="none"/>
        </w:rPr>
        <w:t>参见本合同</w:t>
      </w:r>
      <w:r>
        <w:rPr>
          <w:color w:val="auto"/>
          <w:highlight w:val="none"/>
          <w:u w:val="none"/>
        </w:rPr>
        <w:t>“</w:t>
      </w:r>
      <w:r>
        <w:rPr>
          <w:rFonts w:hint="eastAsia"/>
          <w:color w:val="auto"/>
          <w:highlight w:val="none"/>
          <w:u w:val="none"/>
        </w:rPr>
        <w:t>基金的投资”章节的约定。</w:t>
      </w:r>
    </w:p>
    <w:p>
      <w:pPr>
        <w:pStyle w:val="81"/>
        <w:rPr>
          <w:color w:val="auto"/>
          <w:highlight w:val="none"/>
          <w:u w:val="none"/>
        </w:rPr>
      </w:pPr>
      <w:r>
        <w:rPr>
          <w:rFonts w:hint="eastAsia"/>
          <w:color w:val="auto"/>
          <w:highlight w:val="none"/>
          <w:u w:val="none"/>
        </w:rPr>
        <w:t>(七)存续期限</w:t>
      </w:r>
    </w:p>
    <w:p>
      <w:pPr>
        <w:pStyle w:val="81"/>
        <w:rPr>
          <w:color w:val="auto"/>
          <w:highlight w:val="none"/>
          <w:u w:val="none"/>
        </w:rPr>
      </w:pPr>
      <w:r>
        <w:rPr>
          <w:rFonts w:hint="eastAsia"/>
          <w:color w:val="auto"/>
          <w:highlight w:val="none"/>
          <w:u w:val="none"/>
        </w:rPr>
        <w:t>本基金不设固定期限。</w:t>
      </w:r>
    </w:p>
    <w:p>
      <w:pPr>
        <w:pStyle w:val="81"/>
        <w:rPr>
          <w:color w:val="auto"/>
          <w:highlight w:val="none"/>
          <w:u w:val="none"/>
        </w:rPr>
      </w:pPr>
      <w:r>
        <w:rPr>
          <w:rFonts w:hint="eastAsia"/>
          <w:color w:val="auto"/>
          <w:highlight w:val="none"/>
          <w:u w:val="none"/>
        </w:rPr>
        <w:t>(八)初始销售面值</w:t>
      </w:r>
    </w:p>
    <w:p>
      <w:pPr>
        <w:pStyle w:val="81"/>
        <w:rPr>
          <w:color w:val="auto"/>
          <w:highlight w:val="none"/>
          <w:u w:val="none"/>
        </w:rPr>
      </w:pPr>
      <w:r>
        <w:rPr>
          <w:rFonts w:hint="eastAsia"/>
          <w:color w:val="auto"/>
          <w:highlight w:val="none"/>
          <w:u w:val="none"/>
        </w:rPr>
        <w:t>本基金份额的初始销售面值为人民币1.000元/份。</w:t>
      </w:r>
    </w:p>
    <w:p>
      <w:pPr>
        <w:pStyle w:val="81"/>
        <w:rPr>
          <w:color w:val="auto"/>
          <w:highlight w:val="none"/>
          <w:u w:val="none"/>
        </w:rPr>
      </w:pPr>
      <w:r>
        <w:rPr>
          <w:rFonts w:hint="eastAsia"/>
          <w:color w:val="auto"/>
          <w:highlight w:val="none"/>
          <w:u w:val="none"/>
        </w:rPr>
        <w:t>(九)托管机构</w:t>
      </w:r>
    </w:p>
    <w:p>
      <w:pPr>
        <w:pStyle w:val="81"/>
        <w:rPr>
          <w:color w:val="auto"/>
          <w:highlight w:val="none"/>
          <w:u w:val="none"/>
        </w:rPr>
      </w:pPr>
      <w:r>
        <w:rPr>
          <w:rFonts w:hint="eastAsia"/>
          <w:color w:val="auto"/>
          <w:highlight w:val="none"/>
          <w:u w:val="none"/>
        </w:rPr>
        <w:t>本基金的托管人为国信证券股份有限公司。</w:t>
      </w:r>
    </w:p>
    <w:p>
      <w:pPr>
        <w:pStyle w:val="81"/>
        <w:rPr>
          <w:color w:val="auto"/>
          <w:highlight w:val="none"/>
          <w:u w:val="none"/>
        </w:rPr>
      </w:pPr>
      <w:r>
        <w:rPr>
          <w:rFonts w:hint="eastAsia"/>
          <w:color w:val="auto"/>
          <w:highlight w:val="none"/>
          <w:u w:val="none"/>
        </w:rPr>
        <w:t>(十)外包服务机构</w:t>
      </w:r>
    </w:p>
    <w:p>
      <w:pPr>
        <w:pStyle w:val="81"/>
        <w:rPr>
          <w:color w:val="auto"/>
          <w:highlight w:val="none"/>
          <w:u w:val="none"/>
        </w:rPr>
      </w:pPr>
      <w:r>
        <w:rPr>
          <w:rFonts w:hint="eastAsia"/>
          <w:color w:val="auto"/>
          <w:highlight w:val="none"/>
          <w:u w:val="none"/>
        </w:rPr>
        <w:t>本基金的外包服务机构为国信证券股份有限公司（外包业务登记编码为：A00003）</w:t>
      </w:r>
      <w:r>
        <w:rPr>
          <w:rFonts w:hint="eastAsia" w:ascii="宋体" w:hAnsi="宋体"/>
          <w:color w:val="auto"/>
          <w:highlight w:val="none"/>
          <w:u w:val="none"/>
        </w:rPr>
        <w:t>。</w:t>
      </w:r>
    </w:p>
    <w:p>
      <w:pPr>
        <w:pStyle w:val="81"/>
        <w:rPr>
          <w:color w:val="auto"/>
          <w:highlight w:val="none"/>
          <w:u w:val="none"/>
        </w:rPr>
      </w:pPr>
      <w:r>
        <w:rPr>
          <w:rFonts w:hint="eastAsia"/>
          <w:color w:val="auto"/>
          <w:highlight w:val="none"/>
          <w:u w:val="none"/>
        </w:rPr>
        <w:t>(十一)份额分级/分类</w:t>
      </w:r>
    </w:p>
    <w:p>
      <w:pPr>
        <w:pStyle w:val="81"/>
        <w:rPr>
          <w:color w:val="auto"/>
          <w:highlight w:val="none"/>
          <w:u w:val="none"/>
        </w:rPr>
      </w:pPr>
      <w:r>
        <w:rPr>
          <w:rFonts w:hint="eastAsia"/>
          <w:color w:val="auto"/>
          <w:highlight w:val="none"/>
          <w:u w:val="none"/>
        </w:rPr>
        <w:t>本基金设为均等份额，每份份额享有同等的合法权益。</w:t>
      </w:r>
    </w:p>
    <w:p>
      <w:pPr>
        <w:pStyle w:val="4"/>
        <w:snapToGrid/>
        <w:spacing w:beforeLines="100" w:afterLines="50"/>
        <w:rPr>
          <w:rFonts w:ascii="楷体" w:hAnsi="楷体" w:eastAsia="楷体"/>
          <w:color w:val="auto"/>
          <w:sz w:val="24"/>
          <w:highlight w:val="none"/>
          <w:u w:val="none"/>
        </w:rPr>
      </w:pPr>
      <w:bookmarkStart w:id="18" w:name="_Toc482974529"/>
      <w:bookmarkStart w:id="19" w:name="_Toc258149312"/>
      <w:r>
        <w:rPr>
          <w:rFonts w:ascii="楷体" w:hAnsi="楷体" w:eastAsia="楷体"/>
          <w:color w:val="auto"/>
          <w:sz w:val="24"/>
          <w:highlight w:val="none"/>
          <w:u w:val="none"/>
        </w:rPr>
        <w:t>第五节基金份额的初始销售</w:t>
      </w:r>
      <w:bookmarkEnd w:id="18"/>
      <w:bookmarkEnd w:id="19"/>
    </w:p>
    <w:p>
      <w:pPr>
        <w:pStyle w:val="81"/>
        <w:rPr>
          <w:color w:val="auto"/>
          <w:highlight w:val="none"/>
          <w:u w:val="none"/>
        </w:rPr>
      </w:pPr>
      <w:r>
        <w:rPr>
          <w:color w:val="auto"/>
          <w:highlight w:val="none"/>
          <w:u w:val="none"/>
        </w:rPr>
        <w:t>(</w:t>
      </w:r>
      <w:r>
        <w:rPr>
          <w:rFonts w:hint="eastAsia"/>
          <w:color w:val="auto"/>
          <w:highlight w:val="none"/>
          <w:u w:val="none"/>
        </w:rPr>
        <w:t>一</w:t>
      </w:r>
      <w:r>
        <w:rPr>
          <w:color w:val="auto"/>
          <w:highlight w:val="none"/>
          <w:u w:val="none"/>
        </w:rPr>
        <w:t>)</w:t>
      </w:r>
      <w:r>
        <w:rPr>
          <w:rFonts w:hint="eastAsia"/>
          <w:color w:val="auto"/>
          <w:highlight w:val="none"/>
          <w:u w:val="none"/>
        </w:rPr>
        <w:t>募集机构</w:t>
      </w:r>
    </w:p>
    <w:p>
      <w:pPr>
        <w:pStyle w:val="81"/>
        <w:rPr>
          <w:color w:val="auto"/>
          <w:highlight w:val="none"/>
          <w:u w:val="none"/>
        </w:rPr>
      </w:pPr>
      <w:r>
        <w:rPr>
          <w:rFonts w:hint="eastAsia"/>
          <w:color w:val="auto"/>
          <w:highlight w:val="none"/>
          <w:u w:val="none"/>
        </w:rPr>
        <w:t>本基金的募集机构为管理人及管理人委托的代销机构安信证券股份有限公司，基金管理人可根据情况变更或增减代销机构，并予以公告。</w:t>
      </w:r>
    </w:p>
    <w:p>
      <w:pPr>
        <w:pStyle w:val="81"/>
        <w:rPr>
          <w:color w:val="auto"/>
          <w:highlight w:val="none"/>
          <w:u w:val="none"/>
        </w:rPr>
      </w:pPr>
      <w:r>
        <w:rPr>
          <w:rFonts w:hint="eastAsia"/>
          <w:color w:val="auto"/>
          <w:highlight w:val="none"/>
          <w:u w:val="none"/>
        </w:rPr>
        <w:t>管理人应当自行确保其与所聘请的代销机构签署的代销协议合法合规，不存在损害投资人利益的情形，托管人及外包服务机构对代销协议相关条款不做审核。</w:t>
      </w:r>
    </w:p>
    <w:p>
      <w:pPr>
        <w:pStyle w:val="81"/>
        <w:rPr>
          <w:color w:val="auto"/>
          <w:highlight w:val="none"/>
          <w:u w:val="none"/>
        </w:rPr>
      </w:pPr>
      <w:r>
        <w:rPr>
          <w:rFonts w:hint="eastAsia"/>
          <w:color w:val="auto"/>
          <w:highlight w:val="none"/>
          <w:u w:val="none"/>
        </w:rPr>
        <w:t>(二)基金份额的初始销售期间</w:t>
      </w:r>
    </w:p>
    <w:p>
      <w:pPr>
        <w:pStyle w:val="81"/>
        <w:rPr>
          <w:color w:val="auto"/>
          <w:highlight w:val="none"/>
          <w:u w:val="none"/>
        </w:rPr>
      </w:pPr>
      <w:r>
        <w:rPr>
          <w:rFonts w:hint="eastAsia"/>
          <w:color w:val="auto"/>
          <w:highlight w:val="none"/>
          <w:u w:val="none"/>
        </w:rPr>
        <w:t>本基金初始销售期间自基金份额开始发售之日起不超过1个月，具体期间由管理人根据本基金合同的约定自行确定，并在管理人网站进行公告，或以管理人与投资者约定的方式通知投资者。管理人有权根据基金初始销售的实际情况自行或与代销机构协商决定缩短或延长初始销售期间，但延长后初始销售期间自基金份额开始发售之日起不得超过2个月。</w:t>
      </w:r>
    </w:p>
    <w:p>
      <w:pPr>
        <w:pStyle w:val="81"/>
        <w:ind w:firstLine="422"/>
        <w:rPr>
          <w:b/>
          <w:color w:val="auto"/>
          <w:highlight w:val="none"/>
          <w:u w:val="none"/>
        </w:rPr>
      </w:pPr>
      <w:r>
        <w:rPr>
          <w:rFonts w:hint="eastAsia"/>
          <w:b/>
          <w:color w:val="auto"/>
          <w:highlight w:val="none"/>
          <w:u w:val="none"/>
        </w:rPr>
        <w:t>管理人在其网站对延长或缩短初始销售期间的相关事项及时公告的，即视为履行完毕延长或缩短初始销售的程序。</w:t>
      </w:r>
    </w:p>
    <w:p>
      <w:pPr>
        <w:pStyle w:val="81"/>
        <w:rPr>
          <w:color w:val="auto"/>
          <w:highlight w:val="none"/>
          <w:u w:val="none"/>
        </w:rPr>
      </w:pPr>
      <w:r>
        <w:rPr>
          <w:rFonts w:hint="eastAsia"/>
          <w:color w:val="auto"/>
          <w:highlight w:val="none"/>
          <w:u w:val="none"/>
        </w:rPr>
        <w:t>(三)基金份额的销售方式</w:t>
      </w:r>
    </w:p>
    <w:p>
      <w:pPr>
        <w:pStyle w:val="81"/>
        <w:rPr>
          <w:color w:val="auto"/>
          <w:highlight w:val="none"/>
          <w:u w:val="none"/>
        </w:rPr>
      </w:pPr>
      <w:r>
        <w:rPr>
          <w:rFonts w:hint="eastAsia"/>
          <w:color w:val="auto"/>
          <w:highlight w:val="none"/>
          <w:u w:val="none"/>
        </w:rPr>
        <w:t>本基金由管理人自行销售或由管理人委托的代销机构以非公开的方式进行销售。</w:t>
      </w:r>
    </w:p>
    <w:p>
      <w:pPr>
        <w:pStyle w:val="81"/>
        <w:rPr>
          <w:color w:val="auto"/>
          <w:highlight w:val="none"/>
          <w:u w:val="none"/>
        </w:rPr>
      </w:pPr>
      <w:r>
        <w:rPr>
          <w:rFonts w:hint="eastAsia"/>
          <w:color w:val="auto"/>
          <w:highlight w:val="none"/>
          <w:u w:val="none"/>
        </w:rPr>
        <w:t>投资者认购本基金，应与管理人和托管人签订基金合同，按基金合同规定的方式足额缴纳认购款项。认购的具体金额和份额以管理人的确认结果为准。</w:t>
      </w:r>
    </w:p>
    <w:p>
      <w:pPr>
        <w:pStyle w:val="81"/>
        <w:rPr>
          <w:color w:val="auto"/>
          <w:highlight w:val="none"/>
          <w:u w:val="none"/>
        </w:rPr>
      </w:pPr>
      <w:r>
        <w:rPr>
          <w:rFonts w:hint="eastAsia"/>
          <w:color w:val="auto"/>
          <w:highlight w:val="none"/>
          <w:u w:val="none"/>
        </w:rPr>
        <w:t>(四)基金份额的销售对象</w:t>
      </w:r>
    </w:p>
    <w:p>
      <w:pPr>
        <w:pStyle w:val="81"/>
        <w:rPr>
          <w:color w:val="auto"/>
          <w:highlight w:val="none"/>
          <w:u w:val="none"/>
        </w:rPr>
      </w:pPr>
      <w:r>
        <w:rPr>
          <w:rFonts w:hint="eastAsia"/>
          <w:color w:val="auto"/>
          <w:highlight w:val="none"/>
          <w:u w:val="none"/>
        </w:rPr>
        <w:t>本基金的份额仅面向符合《暂行办法》第十二条、第十三条规定的合格投资者进行发售。</w:t>
      </w:r>
    </w:p>
    <w:p>
      <w:pPr>
        <w:pStyle w:val="81"/>
        <w:rPr>
          <w:color w:val="auto"/>
          <w:highlight w:val="none"/>
          <w:u w:val="none"/>
        </w:rPr>
      </w:pPr>
      <w:r>
        <w:rPr>
          <w:rFonts w:hint="eastAsia"/>
          <w:color w:val="auto"/>
          <w:highlight w:val="none"/>
          <w:u w:val="none"/>
        </w:rPr>
        <w:t>本基金的投资者不得超过200人。若法律法规将来另有规定的，从其规定。</w:t>
      </w:r>
    </w:p>
    <w:p>
      <w:pPr>
        <w:pStyle w:val="81"/>
        <w:rPr>
          <w:color w:val="auto"/>
          <w:highlight w:val="none"/>
          <w:u w:val="none"/>
        </w:rPr>
      </w:pPr>
      <w:r>
        <w:rPr>
          <w:rFonts w:hint="eastAsia"/>
          <w:color w:val="auto"/>
          <w:highlight w:val="none"/>
          <w:u w:val="none"/>
        </w:rPr>
        <w:t>(五)基金份额的认购和持有限额</w:t>
      </w:r>
    </w:p>
    <w:p>
      <w:pPr>
        <w:pStyle w:val="81"/>
        <w:rPr>
          <w:color w:val="auto"/>
          <w:highlight w:val="none"/>
          <w:u w:val="none"/>
        </w:rPr>
      </w:pPr>
      <w:r>
        <w:rPr>
          <w:rFonts w:hint="eastAsia"/>
          <w:color w:val="auto"/>
          <w:highlight w:val="none"/>
          <w:u w:val="none"/>
        </w:rPr>
        <w:t>投资者初始认购金额不低于人民币100万元（不含认购费）（《暂行办法》第十三条规定的合格投资者可不受该金额限制），并可多次认购，认购期间追加认购金额应不低于10万元。</w:t>
      </w:r>
    </w:p>
    <w:p>
      <w:pPr>
        <w:pStyle w:val="81"/>
        <w:rPr>
          <w:color w:val="auto"/>
          <w:highlight w:val="none"/>
          <w:u w:val="none"/>
        </w:rPr>
      </w:pPr>
      <w:r>
        <w:rPr>
          <w:rFonts w:hint="eastAsia"/>
          <w:color w:val="auto"/>
          <w:highlight w:val="none"/>
          <w:u w:val="none"/>
        </w:rPr>
        <w:t>(六)基金份额的认购费用</w:t>
      </w:r>
    </w:p>
    <w:p>
      <w:pPr>
        <w:pStyle w:val="81"/>
        <w:rPr>
          <w:color w:val="auto"/>
          <w:highlight w:val="none"/>
          <w:u w:val="none"/>
        </w:rPr>
      </w:pPr>
      <w:r>
        <w:rPr>
          <w:rFonts w:hint="eastAsia"/>
          <w:color w:val="auto"/>
          <w:szCs w:val="21"/>
          <w:highlight w:val="none"/>
          <w:u w:val="none"/>
        </w:rPr>
        <w:t>本基金的认购费率为</w:t>
      </w:r>
      <w:r>
        <w:rPr>
          <w:color w:val="auto"/>
          <w:szCs w:val="21"/>
          <w:highlight w:val="none"/>
          <w:u w:val="none"/>
        </w:rPr>
        <w:t>1%，认购费由募集机构收取。募集机构有权对个别投资人的认购费进行减免。</w:t>
      </w:r>
    </w:p>
    <w:p>
      <w:pPr>
        <w:pStyle w:val="81"/>
        <w:rPr>
          <w:color w:val="auto"/>
          <w:highlight w:val="none"/>
          <w:u w:val="none"/>
        </w:rPr>
      </w:pPr>
      <w:r>
        <w:rPr>
          <w:color w:val="auto"/>
          <w:szCs w:val="21"/>
          <w:highlight w:val="none"/>
          <w:u w:val="none"/>
        </w:rPr>
        <w:t>(七)基金份额的计算</w:t>
      </w:r>
    </w:p>
    <w:p>
      <w:pPr>
        <w:pStyle w:val="81"/>
        <w:rPr>
          <w:rFonts w:ascii="楷体" w:hAnsi="楷体" w:eastAsia="楷体"/>
          <w:color w:val="auto"/>
          <w:szCs w:val="21"/>
          <w:highlight w:val="none"/>
          <w:u w:val="none"/>
        </w:rPr>
      </w:pPr>
      <w:r>
        <w:rPr>
          <w:color w:val="auto"/>
          <w:szCs w:val="21"/>
          <w:highlight w:val="none"/>
          <w:u w:val="none"/>
        </w:rPr>
        <w:t>本基金采用金额认购的方式。认购份额的计算方式如下：</w:t>
      </w:r>
    </w:p>
    <w:p>
      <w:pPr>
        <w:pStyle w:val="81"/>
        <w:rPr>
          <w:color w:val="auto"/>
          <w:highlight w:val="none"/>
          <w:u w:val="none"/>
        </w:rPr>
      </w:pPr>
      <w:r>
        <w:rPr>
          <w:rFonts w:hint="eastAsia"/>
          <w:color w:val="auto"/>
          <w:szCs w:val="21"/>
          <w:highlight w:val="none"/>
          <w:u w:val="none"/>
        </w:rPr>
        <w:t>净认购金额＝认购金额</w:t>
      </w:r>
      <w:r>
        <w:rPr>
          <w:color w:val="auto"/>
          <w:szCs w:val="21"/>
          <w:highlight w:val="none"/>
          <w:u w:val="none"/>
        </w:rPr>
        <w:t>/</w:t>
      </w:r>
      <w:r>
        <w:rPr>
          <w:rFonts w:hint="eastAsia"/>
          <w:color w:val="auto"/>
          <w:szCs w:val="21"/>
          <w:highlight w:val="none"/>
          <w:u w:val="none"/>
        </w:rPr>
        <w:t>（</w:t>
      </w:r>
      <w:r>
        <w:rPr>
          <w:color w:val="auto"/>
          <w:szCs w:val="21"/>
          <w:highlight w:val="none"/>
          <w:u w:val="none"/>
        </w:rPr>
        <w:t>1+</w:t>
      </w:r>
      <w:r>
        <w:rPr>
          <w:rFonts w:hint="eastAsia"/>
          <w:color w:val="auto"/>
          <w:szCs w:val="21"/>
          <w:highlight w:val="none"/>
          <w:u w:val="none"/>
        </w:rPr>
        <w:t>认购费率）</w:t>
      </w:r>
    </w:p>
    <w:p>
      <w:pPr>
        <w:pStyle w:val="81"/>
        <w:rPr>
          <w:color w:val="auto"/>
          <w:highlight w:val="none"/>
          <w:u w:val="none"/>
        </w:rPr>
      </w:pPr>
      <w:r>
        <w:rPr>
          <w:rFonts w:hint="eastAsia"/>
          <w:color w:val="auto"/>
          <w:szCs w:val="21"/>
          <w:highlight w:val="none"/>
          <w:u w:val="none"/>
        </w:rPr>
        <w:t>认购费用＝净认购金额×认购费率</w:t>
      </w:r>
    </w:p>
    <w:p>
      <w:pPr>
        <w:pStyle w:val="81"/>
        <w:rPr>
          <w:color w:val="auto"/>
          <w:highlight w:val="none"/>
          <w:u w:val="none"/>
        </w:rPr>
      </w:pPr>
      <w:r>
        <w:rPr>
          <w:rFonts w:hint="eastAsia"/>
          <w:color w:val="auto"/>
          <w:szCs w:val="21"/>
          <w:highlight w:val="none"/>
          <w:u w:val="none"/>
        </w:rPr>
        <w:t>认购份额＝（净认购金额</w:t>
      </w:r>
      <w:r>
        <w:rPr>
          <w:color w:val="auto"/>
          <w:szCs w:val="21"/>
          <w:highlight w:val="none"/>
          <w:u w:val="none"/>
        </w:rPr>
        <w:t>+</w:t>
      </w:r>
      <w:r>
        <w:rPr>
          <w:rFonts w:hint="eastAsia"/>
          <w:color w:val="auto"/>
          <w:szCs w:val="21"/>
          <w:highlight w:val="none"/>
          <w:u w:val="none"/>
        </w:rPr>
        <w:t>认购期利息）÷份额初始面值</w:t>
      </w:r>
    </w:p>
    <w:p>
      <w:pPr>
        <w:pStyle w:val="81"/>
        <w:rPr>
          <w:color w:val="auto"/>
          <w:highlight w:val="none"/>
          <w:u w:val="none"/>
        </w:rPr>
      </w:pPr>
      <w:r>
        <w:rPr>
          <w:color w:val="auto"/>
          <w:szCs w:val="21"/>
          <w:highlight w:val="none"/>
          <w:u w:val="none"/>
        </w:rPr>
        <w:t>(八)初始销售期间的认购程序</w:t>
      </w:r>
    </w:p>
    <w:p>
      <w:pPr>
        <w:pStyle w:val="81"/>
        <w:rPr>
          <w:color w:val="auto"/>
          <w:highlight w:val="none"/>
          <w:u w:val="none"/>
        </w:rPr>
      </w:pPr>
      <w:r>
        <w:rPr>
          <w:color w:val="auto"/>
          <w:szCs w:val="21"/>
          <w:highlight w:val="none"/>
          <w:u w:val="none"/>
        </w:rPr>
        <w:t>1.认购程序</w:t>
      </w:r>
    </w:p>
    <w:p>
      <w:pPr>
        <w:pStyle w:val="81"/>
        <w:rPr>
          <w:color w:val="auto"/>
          <w:highlight w:val="none"/>
          <w:u w:val="none"/>
        </w:rPr>
      </w:pPr>
      <w:r>
        <w:rPr>
          <w:color w:val="auto"/>
          <w:szCs w:val="21"/>
          <w:highlight w:val="none"/>
          <w:u w:val="none"/>
        </w:rPr>
        <w:t>投资者办理认购业务时应提交的文件和办理手续、办理时间、处理规则等在遵守本合同规定的前提下，以</w:t>
      </w:r>
      <w:r>
        <w:rPr>
          <w:rFonts w:hint="eastAsia"/>
          <w:color w:val="auto"/>
          <w:szCs w:val="21"/>
          <w:highlight w:val="none"/>
          <w:u w:val="none"/>
        </w:rPr>
        <w:t>募集</w:t>
      </w:r>
      <w:r>
        <w:rPr>
          <w:color w:val="auto"/>
          <w:szCs w:val="21"/>
          <w:highlight w:val="none"/>
          <w:u w:val="none"/>
        </w:rPr>
        <w:t>机构的具体规定为准。</w:t>
      </w:r>
    </w:p>
    <w:p>
      <w:pPr>
        <w:pStyle w:val="81"/>
        <w:rPr>
          <w:color w:val="auto"/>
          <w:highlight w:val="none"/>
          <w:u w:val="none"/>
        </w:rPr>
      </w:pPr>
      <w:r>
        <w:rPr>
          <w:color w:val="auto"/>
          <w:szCs w:val="21"/>
          <w:highlight w:val="none"/>
          <w:u w:val="none"/>
        </w:rPr>
        <w:t>2.认购申请的确认</w:t>
      </w:r>
    </w:p>
    <w:p>
      <w:pPr>
        <w:pStyle w:val="81"/>
        <w:rPr>
          <w:color w:val="auto"/>
          <w:highlight w:val="none"/>
          <w:u w:val="none"/>
        </w:rPr>
      </w:pPr>
      <w:r>
        <w:rPr>
          <w:rFonts w:hint="eastAsia"/>
          <w:color w:val="auto"/>
          <w:szCs w:val="21"/>
          <w:highlight w:val="none"/>
          <w:u w:val="none"/>
        </w:rPr>
        <w:t>募集</w:t>
      </w:r>
      <w:r>
        <w:rPr>
          <w:color w:val="auto"/>
          <w:szCs w:val="21"/>
          <w:highlight w:val="none"/>
          <w:u w:val="none"/>
        </w:rPr>
        <w:t>机构受理认购申请并不表示对该申请成功的确认，而仅代表</w:t>
      </w:r>
      <w:r>
        <w:rPr>
          <w:rFonts w:hint="eastAsia"/>
          <w:color w:val="auto"/>
          <w:szCs w:val="21"/>
          <w:highlight w:val="none"/>
          <w:u w:val="none"/>
        </w:rPr>
        <w:t>募集</w:t>
      </w:r>
      <w:r>
        <w:rPr>
          <w:color w:val="auto"/>
          <w:szCs w:val="21"/>
          <w:highlight w:val="none"/>
          <w:u w:val="none"/>
        </w:rPr>
        <w:t>机构确实收到了认购申请。认购申请采取时间优先、金额优先的原则进行确认，即首先按照客户申请时间判断，先到先得，在同一时间接收的认购申请，则金额优先，即金额大的优先进行确认。申请是否有效应以</w:t>
      </w:r>
      <w:r>
        <w:rPr>
          <w:rFonts w:hint="eastAsia"/>
          <w:color w:val="auto"/>
          <w:szCs w:val="21"/>
          <w:highlight w:val="none"/>
          <w:u w:val="none"/>
        </w:rPr>
        <w:t>管理人</w:t>
      </w:r>
      <w:r>
        <w:rPr>
          <w:color w:val="auto"/>
          <w:szCs w:val="21"/>
          <w:highlight w:val="none"/>
          <w:u w:val="none"/>
        </w:rPr>
        <w:t>的确认并且基金合同生效为准。投资者应在本合同生效后与</w:t>
      </w:r>
      <w:r>
        <w:rPr>
          <w:rFonts w:hint="eastAsia"/>
          <w:color w:val="auto"/>
          <w:szCs w:val="21"/>
          <w:highlight w:val="none"/>
          <w:u w:val="none"/>
        </w:rPr>
        <w:t>募集</w:t>
      </w:r>
      <w:r>
        <w:rPr>
          <w:color w:val="auto"/>
          <w:szCs w:val="21"/>
          <w:highlight w:val="none"/>
          <w:u w:val="none"/>
        </w:rPr>
        <w:t>机构查询最终确认情况和有效认购份额。因投资者怠于查询造成的后果由投资者自行承担。</w:t>
      </w:r>
    </w:p>
    <w:p>
      <w:pPr>
        <w:pStyle w:val="81"/>
        <w:rPr>
          <w:color w:val="auto"/>
          <w:highlight w:val="none"/>
          <w:u w:val="none"/>
        </w:rPr>
      </w:pPr>
      <w:r>
        <w:rPr>
          <w:color w:val="auto"/>
          <w:szCs w:val="21"/>
          <w:highlight w:val="none"/>
          <w:u w:val="none"/>
        </w:rPr>
        <w:t>(九)拒绝认购</w:t>
      </w:r>
    </w:p>
    <w:p>
      <w:pPr>
        <w:pStyle w:val="81"/>
        <w:rPr>
          <w:color w:val="auto"/>
          <w:highlight w:val="none"/>
          <w:u w:val="none"/>
        </w:rPr>
      </w:pPr>
      <w:r>
        <w:rPr>
          <w:color w:val="auto"/>
          <w:szCs w:val="21"/>
          <w:highlight w:val="none"/>
          <w:u w:val="none"/>
        </w:rPr>
        <w:t>出现以下情形之一，管理人可以拒绝投资者的认购：</w:t>
      </w:r>
    </w:p>
    <w:p>
      <w:pPr>
        <w:pStyle w:val="81"/>
        <w:rPr>
          <w:color w:val="auto"/>
          <w:highlight w:val="none"/>
          <w:u w:val="none"/>
        </w:rPr>
      </w:pPr>
      <w:r>
        <w:rPr>
          <w:color w:val="auto"/>
          <w:szCs w:val="21"/>
          <w:highlight w:val="none"/>
          <w:u w:val="none"/>
        </w:rPr>
        <w:t>1.本基金认购人数达到上限或认购人交付的认购资金规模超过</w:t>
      </w:r>
      <w:r>
        <w:rPr>
          <w:rFonts w:hint="eastAsia"/>
          <w:color w:val="auto"/>
          <w:szCs w:val="21"/>
          <w:highlight w:val="none"/>
          <w:u w:val="none"/>
        </w:rPr>
        <w:t>本合同约定的上限</w:t>
      </w:r>
      <w:r>
        <w:rPr>
          <w:color w:val="auto"/>
          <w:szCs w:val="21"/>
          <w:highlight w:val="none"/>
          <w:u w:val="none"/>
        </w:rPr>
        <w:t>；</w:t>
      </w:r>
    </w:p>
    <w:p>
      <w:pPr>
        <w:pStyle w:val="81"/>
        <w:rPr>
          <w:color w:val="auto"/>
          <w:highlight w:val="none"/>
          <w:u w:val="none"/>
        </w:rPr>
      </w:pPr>
      <w:r>
        <w:rPr>
          <w:color w:val="auto"/>
          <w:szCs w:val="21"/>
          <w:highlight w:val="none"/>
          <w:u w:val="none"/>
        </w:rPr>
        <w:t>2.由于不可抗力的原因导致本基金无法正常运作；</w:t>
      </w:r>
    </w:p>
    <w:p>
      <w:pPr>
        <w:pStyle w:val="81"/>
        <w:rPr>
          <w:color w:val="auto"/>
          <w:highlight w:val="none"/>
          <w:u w:val="none"/>
        </w:rPr>
      </w:pPr>
      <w:r>
        <w:rPr>
          <w:color w:val="auto"/>
          <w:szCs w:val="21"/>
          <w:highlight w:val="none"/>
          <w:u w:val="none"/>
        </w:rPr>
        <w:t>3.</w:t>
      </w:r>
      <w:r>
        <w:rPr>
          <w:rFonts w:hint="eastAsia"/>
          <w:color w:val="auto"/>
          <w:szCs w:val="21"/>
          <w:highlight w:val="none"/>
          <w:u w:val="none"/>
        </w:rPr>
        <w:t>拒绝认购申请有利于保护投资者的权益；</w:t>
      </w:r>
    </w:p>
    <w:p>
      <w:pPr>
        <w:pStyle w:val="81"/>
        <w:rPr>
          <w:color w:val="auto"/>
          <w:highlight w:val="none"/>
          <w:u w:val="none"/>
        </w:rPr>
      </w:pPr>
      <w:r>
        <w:rPr>
          <w:color w:val="auto"/>
          <w:szCs w:val="21"/>
          <w:highlight w:val="none"/>
          <w:u w:val="none"/>
        </w:rPr>
        <w:t>4.法律、法规规定或中国证监会认定的其他情形。</w:t>
      </w:r>
    </w:p>
    <w:p>
      <w:pPr>
        <w:pStyle w:val="81"/>
        <w:rPr>
          <w:color w:val="auto"/>
          <w:highlight w:val="none"/>
          <w:u w:val="none"/>
        </w:rPr>
      </w:pPr>
      <w:r>
        <w:rPr>
          <w:color w:val="auto"/>
          <w:szCs w:val="21"/>
          <w:highlight w:val="none"/>
          <w:u w:val="none"/>
        </w:rPr>
        <w:t>如果投资者的认购被拒绝，被拒绝的认购款项将无息退还给投资者。</w:t>
      </w:r>
    </w:p>
    <w:p>
      <w:pPr>
        <w:pStyle w:val="81"/>
        <w:rPr>
          <w:color w:val="auto"/>
          <w:highlight w:val="none"/>
          <w:u w:val="none"/>
        </w:rPr>
      </w:pPr>
      <w:r>
        <w:rPr>
          <w:color w:val="auto"/>
          <w:szCs w:val="21"/>
          <w:highlight w:val="none"/>
          <w:u w:val="none"/>
        </w:rPr>
        <w:t>(十)初始销售期间客户资金的管理</w:t>
      </w:r>
    </w:p>
    <w:p>
      <w:pPr>
        <w:pStyle w:val="81"/>
        <w:rPr>
          <w:color w:val="auto"/>
          <w:highlight w:val="none"/>
          <w:u w:val="none"/>
        </w:rPr>
      </w:pPr>
      <w:r>
        <w:rPr>
          <w:color w:val="auto"/>
          <w:szCs w:val="21"/>
          <w:highlight w:val="none"/>
          <w:u w:val="none"/>
        </w:rPr>
        <w:t>初始销售期间，</w:t>
      </w:r>
      <w:r>
        <w:rPr>
          <w:rFonts w:hint="eastAsia"/>
          <w:color w:val="auto"/>
          <w:szCs w:val="21"/>
          <w:highlight w:val="none"/>
          <w:u w:val="none"/>
        </w:rPr>
        <w:t>管理人</w:t>
      </w:r>
      <w:r>
        <w:rPr>
          <w:rFonts w:hint="eastAsia"/>
          <w:b/>
          <w:color w:val="auto"/>
          <w:szCs w:val="21"/>
          <w:highlight w:val="none"/>
          <w:u w:val="none"/>
        </w:rPr>
        <w:t>不接受现金认购</w:t>
      </w:r>
      <w:r>
        <w:rPr>
          <w:rFonts w:hint="eastAsia"/>
          <w:color w:val="auto"/>
          <w:szCs w:val="21"/>
          <w:highlight w:val="none"/>
          <w:u w:val="none"/>
        </w:rPr>
        <w:t>，投资者应从其在中国境内银行开立的自有银行账户划款支付其认购款项。投资人划款时需在备注中注明认购的产品名称和投资人姓名。</w:t>
      </w:r>
    </w:p>
    <w:p>
      <w:pPr>
        <w:pStyle w:val="81"/>
        <w:rPr>
          <w:color w:val="auto"/>
          <w:highlight w:val="none"/>
          <w:u w:val="none"/>
        </w:rPr>
      </w:pPr>
      <w:r>
        <w:rPr>
          <w:color w:val="auto"/>
          <w:szCs w:val="21"/>
          <w:highlight w:val="none"/>
          <w:u w:val="none"/>
        </w:rPr>
        <w:t>1.通过管理人直销渠道认购本基金份额的投资者，须从在中国境内银行开立的自有银行账户划款至本基金的募集账户。本基金的募集账户信息如下：</w:t>
      </w:r>
    </w:p>
    <w:p>
      <w:pPr>
        <w:pStyle w:val="81"/>
        <w:rPr>
          <w:color w:val="auto"/>
          <w:highlight w:val="none"/>
          <w:u w:val="none"/>
        </w:rPr>
      </w:pPr>
      <w:r>
        <w:rPr>
          <w:rFonts w:hint="eastAsia"/>
          <w:color w:val="auto"/>
          <w:szCs w:val="21"/>
          <w:highlight w:val="none"/>
          <w:u w:val="none"/>
        </w:rPr>
        <w:t>户名：睿璞投资</w:t>
      </w:r>
      <w:r>
        <w:rPr>
          <w:color w:val="auto"/>
          <w:szCs w:val="21"/>
          <w:highlight w:val="none"/>
          <w:u w:val="none"/>
        </w:rPr>
        <w:t>-睿</w:t>
      </w:r>
      <w:r>
        <w:rPr>
          <w:rFonts w:hint="eastAsia"/>
          <w:color w:val="auto"/>
          <w:szCs w:val="21"/>
          <w:highlight w:val="none"/>
          <w:u w:val="none"/>
        </w:rPr>
        <w:t>洪三号私募证券投资基金募集专户</w:t>
      </w:r>
    </w:p>
    <w:p>
      <w:pPr>
        <w:pStyle w:val="81"/>
        <w:rPr>
          <w:color w:val="auto"/>
          <w:highlight w:val="none"/>
          <w:u w:val="none"/>
        </w:rPr>
      </w:pPr>
      <w:r>
        <w:rPr>
          <w:rFonts w:hint="eastAsia"/>
          <w:color w:val="auto"/>
          <w:szCs w:val="21"/>
          <w:highlight w:val="none"/>
          <w:u w:val="none"/>
        </w:rPr>
        <w:t>账号：</w:t>
      </w:r>
      <w:r>
        <w:rPr>
          <w:color w:val="auto"/>
          <w:szCs w:val="21"/>
          <w:highlight w:val="none"/>
          <w:u w:val="none"/>
        </w:rPr>
        <w:t>9558854000002336399</w:t>
      </w:r>
    </w:p>
    <w:p>
      <w:pPr>
        <w:pStyle w:val="81"/>
        <w:rPr>
          <w:color w:val="auto"/>
          <w:highlight w:val="none"/>
          <w:u w:val="none"/>
        </w:rPr>
      </w:pPr>
      <w:r>
        <w:rPr>
          <w:rFonts w:hint="eastAsia"/>
          <w:color w:val="auto"/>
          <w:szCs w:val="21"/>
          <w:highlight w:val="none"/>
          <w:u w:val="none"/>
        </w:rPr>
        <w:t>开户行：中国工商银行深圳市深港支行</w:t>
      </w:r>
    </w:p>
    <w:p>
      <w:pPr>
        <w:pStyle w:val="81"/>
        <w:rPr>
          <w:color w:val="auto"/>
          <w:highlight w:val="none"/>
          <w:u w:val="none"/>
        </w:rPr>
      </w:pPr>
      <w:r>
        <w:rPr>
          <w:color w:val="auto"/>
          <w:szCs w:val="21"/>
          <w:highlight w:val="none"/>
          <w:u w:val="none"/>
        </w:rPr>
        <w:t>在初始销售期间结束之前，任何机构和个人不得将募集账户中的</w:t>
      </w:r>
      <w:r>
        <w:rPr>
          <w:rFonts w:hint="eastAsia"/>
          <w:color w:val="auto"/>
          <w:szCs w:val="21"/>
          <w:highlight w:val="none"/>
          <w:u w:val="none"/>
        </w:rPr>
        <w:t>投资者认购</w:t>
      </w:r>
      <w:r>
        <w:rPr>
          <w:color w:val="auto"/>
          <w:szCs w:val="21"/>
          <w:highlight w:val="none"/>
          <w:u w:val="none"/>
        </w:rPr>
        <w:t>资金挪作他用。</w:t>
      </w:r>
    </w:p>
    <w:p>
      <w:pPr>
        <w:pStyle w:val="81"/>
        <w:rPr>
          <w:color w:val="auto"/>
          <w:highlight w:val="none"/>
          <w:u w:val="none"/>
        </w:rPr>
      </w:pPr>
      <w:r>
        <w:rPr>
          <w:rFonts w:hint="eastAsia"/>
          <w:color w:val="auto"/>
          <w:szCs w:val="21"/>
          <w:highlight w:val="none"/>
          <w:u w:val="none"/>
        </w:rPr>
        <w:t>募集账户由基金管理人委托外包服务机构开立，该账户用于本基金募集期间和存续期间认购、申购资金的归集与支付。募集账户是外包服务机构接受基金管理人委托代为提供基金服务的专用账户，并不代表外包服务机构接受投资者的认购或申购资金，也不表明外包服务机构对本基金的价值和收益做出实质性判断或保证，也不表明投资于本基金没有风险。在募集账户的使用过程中，除非有足够的证据证明是因外包服务机构的原因造成的损失外，基金管理人应就其自身操作不当等原因所造成的损失承担相关责任，外包服务机构对基金管理人的投资运作不承担任何责任。</w:t>
      </w:r>
    </w:p>
    <w:p>
      <w:pPr>
        <w:pStyle w:val="81"/>
        <w:rPr>
          <w:color w:val="auto"/>
          <w:highlight w:val="none"/>
          <w:u w:val="none"/>
        </w:rPr>
      </w:pPr>
      <w:r>
        <w:rPr>
          <w:rFonts w:hint="eastAsia"/>
          <w:color w:val="auto"/>
          <w:highlight w:val="none"/>
          <w:u w:val="none"/>
        </w:rPr>
        <w:t>为避免歧义，对于管理人采取直销、代销两种募集方式或仅采取代销募集方式的，外包服务机构仅</w:t>
      </w:r>
      <w:r>
        <w:rPr>
          <w:color w:val="auto"/>
          <w:highlight w:val="none"/>
          <w:u w:val="none"/>
        </w:rPr>
        <w:t>对代销归集户划入募集账户后的资金承担监督职责，未免疑义，</w:t>
      </w:r>
      <w:r>
        <w:rPr>
          <w:rFonts w:hint="eastAsia"/>
          <w:color w:val="auto"/>
          <w:highlight w:val="none"/>
          <w:u w:val="none"/>
        </w:rPr>
        <w:t>外包服务机构对募集账户的监督范围不包括：代销机构归集投资者募集资金，向投资者划付其收益、赎回款项及剩余基金财产，以及代销归集户向募集账户进行资金划转等行为的监督，前述代销机构行为涉及的资金划转安全保障职责按照代销相关法律法规及协议约定由相应主体承担责任。</w:t>
      </w:r>
    </w:p>
    <w:p>
      <w:pPr>
        <w:pStyle w:val="81"/>
        <w:rPr>
          <w:color w:val="auto"/>
          <w:highlight w:val="none"/>
          <w:u w:val="none"/>
        </w:rPr>
      </w:pPr>
      <w:r>
        <w:rPr>
          <w:rFonts w:hint="eastAsia"/>
          <w:color w:val="auto"/>
          <w:highlight w:val="none"/>
          <w:u w:val="none"/>
        </w:rPr>
        <w:t>本基金</w:t>
      </w:r>
      <w:r>
        <w:rPr>
          <w:color w:val="auto"/>
          <w:highlight w:val="none"/>
          <w:u w:val="none"/>
        </w:rPr>
        <w:t>募集账户的监督机构为</w:t>
      </w:r>
      <w:r>
        <w:rPr>
          <w:rFonts w:hint="eastAsia"/>
          <w:color w:val="auto"/>
          <w:highlight w:val="none"/>
          <w:u w:val="none"/>
        </w:rPr>
        <w:t>国信证券</w:t>
      </w:r>
      <w:r>
        <w:rPr>
          <w:color w:val="auto"/>
          <w:highlight w:val="none"/>
          <w:u w:val="none"/>
        </w:rPr>
        <w:t>股份</w:t>
      </w:r>
      <w:r>
        <w:rPr>
          <w:rFonts w:hint="eastAsia"/>
          <w:color w:val="auto"/>
          <w:highlight w:val="none"/>
          <w:u w:val="none"/>
        </w:rPr>
        <w:t>有限</w:t>
      </w:r>
      <w:r>
        <w:rPr>
          <w:color w:val="auto"/>
          <w:highlight w:val="none"/>
          <w:u w:val="none"/>
        </w:rPr>
        <w:t>公司</w:t>
      </w:r>
      <w:r>
        <w:rPr>
          <w:rFonts w:hint="eastAsia"/>
          <w:color w:val="auto"/>
          <w:highlight w:val="none"/>
          <w:u w:val="none"/>
        </w:rPr>
        <w:t>。</w:t>
      </w:r>
    </w:p>
    <w:p>
      <w:pPr>
        <w:pStyle w:val="81"/>
        <w:rPr>
          <w:color w:val="auto"/>
          <w:highlight w:val="none"/>
          <w:u w:val="none"/>
        </w:rPr>
      </w:pPr>
      <w:r>
        <w:rPr>
          <w:color w:val="auto"/>
          <w:highlight w:val="none"/>
          <w:u w:val="none"/>
        </w:rPr>
        <w:t>2.通过管理人委托的代销机构认购的本基金份额的投资者，须从在中国境内银行开立的自有银行账户划款至本基金代销机构开立的代销归集户。</w:t>
      </w:r>
    </w:p>
    <w:p>
      <w:pPr>
        <w:pStyle w:val="81"/>
        <w:rPr>
          <w:color w:val="auto"/>
          <w:highlight w:val="none"/>
          <w:u w:val="none"/>
        </w:rPr>
      </w:pPr>
      <w:r>
        <w:rPr>
          <w:color w:val="auto"/>
          <w:szCs w:val="21"/>
          <w:highlight w:val="none"/>
          <w:u w:val="none"/>
        </w:rPr>
        <w:t>(十一)初始销售期间资金利息的处理方式</w:t>
      </w:r>
    </w:p>
    <w:p>
      <w:pPr>
        <w:pStyle w:val="81"/>
        <w:rPr>
          <w:color w:val="auto"/>
          <w:highlight w:val="none"/>
          <w:u w:val="none"/>
        </w:rPr>
      </w:pPr>
      <w:bookmarkStart w:id="20" w:name="_Toc258149313"/>
      <w:r>
        <w:rPr>
          <w:rFonts w:hint="eastAsia"/>
          <w:color w:val="auto"/>
          <w:szCs w:val="21"/>
          <w:highlight w:val="none"/>
          <w:u w:val="none"/>
        </w:rPr>
        <w:t>投资人认购金额（不含认购费）在初始销售期间产生的利息在基金合同生效后折算为基金份额归投资人所有，其中利息转份额的具体数额以注册登记机构的记录为准。</w:t>
      </w:r>
    </w:p>
    <w:p>
      <w:pPr>
        <w:pStyle w:val="81"/>
        <w:rPr>
          <w:color w:val="auto"/>
          <w:highlight w:val="none"/>
          <w:u w:val="none"/>
        </w:rPr>
      </w:pPr>
      <w:r>
        <w:rPr>
          <w:color w:val="auto"/>
          <w:szCs w:val="21"/>
          <w:highlight w:val="none"/>
          <w:u w:val="none"/>
        </w:rPr>
        <w:t>(十二)认购资金的交付</w:t>
      </w:r>
    </w:p>
    <w:p>
      <w:pPr>
        <w:pStyle w:val="81"/>
        <w:rPr>
          <w:color w:val="auto"/>
          <w:highlight w:val="none"/>
          <w:u w:val="none"/>
        </w:rPr>
      </w:pPr>
      <w:r>
        <w:rPr>
          <w:color w:val="auto"/>
          <w:szCs w:val="21"/>
          <w:highlight w:val="none"/>
          <w:u w:val="none"/>
        </w:rPr>
        <w:t>投资者应在签署本合同之后3个工作日内从在中国境内银行开立的自有银行账户划款至本基金的募集账户，且划款时应在备注中注明认购的基金名称及份额类别（如适用）。</w:t>
      </w:r>
    </w:p>
    <w:p>
      <w:pPr>
        <w:pStyle w:val="4"/>
        <w:snapToGrid/>
        <w:spacing w:beforeLines="100" w:afterLines="50"/>
        <w:rPr>
          <w:rFonts w:ascii="楷体" w:hAnsi="楷体" w:eastAsia="楷体"/>
          <w:color w:val="auto"/>
          <w:sz w:val="24"/>
          <w:highlight w:val="none"/>
          <w:u w:val="none"/>
        </w:rPr>
      </w:pPr>
      <w:bookmarkStart w:id="21" w:name="_Toc482974530"/>
      <w:r>
        <w:rPr>
          <w:rFonts w:ascii="楷体" w:hAnsi="楷体" w:eastAsia="楷体"/>
          <w:color w:val="auto"/>
          <w:sz w:val="24"/>
          <w:highlight w:val="none"/>
          <w:u w:val="none"/>
        </w:rPr>
        <w:t>第六节基金的成立与备案</w:t>
      </w:r>
      <w:bookmarkEnd w:id="20"/>
      <w:bookmarkEnd w:id="21"/>
    </w:p>
    <w:p>
      <w:pPr>
        <w:pStyle w:val="81"/>
        <w:rPr>
          <w:color w:val="auto"/>
          <w:highlight w:val="none"/>
          <w:u w:val="none"/>
        </w:rPr>
      </w:pPr>
      <w:r>
        <w:rPr>
          <w:color w:val="auto"/>
          <w:highlight w:val="none"/>
          <w:u w:val="none"/>
        </w:rPr>
        <w:t>(</w:t>
      </w:r>
      <w:r>
        <w:rPr>
          <w:rFonts w:hint="eastAsia"/>
          <w:color w:val="auto"/>
          <w:highlight w:val="none"/>
          <w:u w:val="none"/>
        </w:rPr>
        <w:t>一</w:t>
      </w:r>
      <w:r>
        <w:rPr>
          <w:color w:val="auto"/>
          <w:highlight w:val="none"/>
          <w:u w:val="none"/>
        </w:rPr>
        <w:t>)基金成立的条件</w:t>
      </w:r>
    </w:p>
    <w:p>
      <w:pPr>
        <w:pStyle w:val="81"/>
        <w:rPr>
          <w:color w:val="auto"/>
          <w:highlight w:val="none"/>
          <w:u w:val="none"/>
        </w:rPr>
      </w:pPr>
      <w:r>
        <w:rPr>
          <w:color w:val="auto"/>
          <w:highlight w:val="none"/>
          <w:u w:val="none"/>
        </w:rPr>
        <w:t>本基金初始销售期间届满，如下列条件均已获得满足，管理人有权宣布本基金成立：</w:t>
      </w:r>
    </w:p>
    <w:p>
      <w:pPr>
        <w:pStyle w:val="81"/>
        <w:rPr>
          <w:color w:val="auto"/>
          <w:highlight w:val="none"/>
          <w:u w:val="none"/>
        </w:rPr>
      </w:pPr>
      <w:r>
        <w:rPr>
          <w:color w:val="auto"/>
          <w:highlight w:val="none"/>
          <w:u w:val="none"/>
        </w:rPr>
        <w:t>1.投资者交付的认购资金金额不低于人民币100万元。</w:t>
      </w:r>
    </w:p>
    <w:p>
      <w:pPr>
        <w:pStyle w:val="81"/>
        <w:rPr>
          <w:color w:val="auto"/>
          <w:highlight w:val="none"/>
          <w:u w:val="none"/>
        </w:rPr>
      </w:pPr>
      <w:r>
        <w:rPr>
          <w:color w:val="auto"/>
          <w:highlight w:val="none"/>
          <w:u w:val="none"/>
        </w:rPr>
        <w:t>2.投资者人数不超过200人。</w:t>
      </w:r>
    </w:p>
    <w:p>
      <w:pPr>
        <w:pStyle w:val="81"/>
        <w:rPr>
          <w:color w:val="auto"/>
          <w:highlight w:val="none"/>
          <w:u w:val="none"/>
        </w:rPr>
      </w:pPr>
      <w:r>
        <w:rPr>
          <w:color w:val="auto"/>
          <w:highlight w:val="none"/>
          <w:u w:val="none"/>
        </w:rPr>
        <w:t>(二)基金成立</w:t>
      </w:r>
    </w:p>
    <w:p>
      <w:pPr>
        <w:pStyle w:val="81"/>
        <w:rPr>
          <w:color w:val="auto"/>
          <w:highlight w:val="none"/>
          <w:u w:val="none"/>
        </w:rPr>
      </w:pPr>
      <w:r>
        <w:rPr>
          <w:color w:val="auto"/>
          <w:highlight w:val="none"/>
          <w:u w:val="none"/>
        </w:rPr>
        <w:t>本节第（一）款约定的条件均获满足后，管理人应将所有</w:t>
      </w:r>
      <w:r>
        <w:rPr>
          <w:rFonts w:hint="eastAsia"/>
          <w:color w:val="auto"/>
          <w:highlight w:val="none"/>
          <w:u w:val="none"/>
        </w:rPr>
        <w:t>净</w:t>
      </w:r>
      <w:r>
        <w:rPr>
          <w:color w:val="auto"/>
          <w:highlight w:val="none"/>
          <w:u w:val="none"/>
        </w:rPr>
        <w:t>认购资金划转至托管账户</w:t>
      </w:r>
      <w:r>
        <w:rPr>
          <w:rFonts w:hint="eastAsia"/>
          <w:color w:val="auto"/>
          <w:highlight w:val="none"/>
          <w:u w:val="none"/>
        </w:rPr>
        <w:t>。所有净认购资金到达托管账户之日</w:t>
      </w:r>
      <w:r>
        <w:rPr>
          <w:color w:val="auto"/>
          <w:highlight w:val="none"/>
          <w:u w:val="none"/>
        </w:rPr>
        <w:t>为基金成立日。托管人自基金成立日起履行本合同约定的托管职责。</w:t>
      </w:r>
      <w:r>
        <w:rPr>
          <w:rFonts w:hint="eastAsia"/>
          <w:color w:val="auto"/>
          <w:highlight w:val="none"/>
          <w:u w:val="none"/>
        </w:rPr>
        <w:t>如管理人对基金成立日做出调整的，应向托管人出具成立日调整通知书。成立日调整通知书上约定的成立日应不早于净认购资金划转至托管账户之日，否则托管人有权视为无效。</w:t>
      </w:r>
    </w:p>
    <w:p>
      <w:pPr>
        <w:pStyle w:val="81"/>
        <w:rPr>
          <w:color w:val="auto"/>
          <w:highlight w:val="none"/>
          <w:u w:val="none"/>
        </w:rPr>
      </w:pPr>
      <w:r>
        <w:rPr>
          <w:color w:val="auto"/>
          <w:highlight w:val="none"/>
          <w:u w:val="none"/>
        </w:rPr>
        <w:t>(三)基金备案</w:t>
      </w:r>
    </w:p>
    <w:p>
      <w:pPr>
        <w:pStyle w:val="81"/>
        <w:rPr>
          <w:color w:val="auto"/>
          <w:highlight w:val="none"/>
          <w:u w:val="none"/>
        </w:rPr>
      </w:pPr>
      <w:r>
        <w:rPr>
          <w:color w:val="auto"/>
          <w:highlight w:val="none"/>
          <w:u w:val="none"/>
        </w:rPr>
        <w:t>管理人应当在基金</w:t>
      </w:r>
      <w:r>
        <w:rPr>
          <w:rFonts w:hint="eastAsia"/>
          <w:color w:val="auto"/>
          <w:highlight w:val="none"/>
          <w:u w:val="none"/>
        </w:rPr>
        <w:t>募集完成之日</w:t>
      </w:r>
      <w:r>
        <w:rPr>
          <w:color w:val="auto"/>
          <w:highlight w:val="none"/>
          <w:u w:val="none"/>
        </w:rPr>
        <w:t>起20个工作日内根据基金业协会的规定办理相关备案手续。</w:t>
      </w:r>
      <w:r>
        <w:rPr>
          <w:rFonts w:hint="eastAsia"/>
          <w:color w:val="auto"/>
          <w:highlight w:val="none"/>
          <w:u w:val="none"/>
        </w:rPr>
        <w:t>私募基金在中国基金业协会完成备案后方可进行投资运作。</w:t>
      </w:r>
    </w:p>
    <w:p>
      <w:pPr>
        <w:pStyle w:val="81"/>
        <w:rPr>
          <w:color w:val="auto"/>
          <w:highlight w:val="none"/>
          <w:u w:val="none"/>
        </w:rPr>
      </w:pPr>
      <w:r>
        <w:rPr>
          <w:rFonts w:hint="eastAsia"/>
          <w:color w:val="auto"/>
          <w:highlight w:val="none"/>
          <w:u w:val="none"/>
        </w:rPr>
        <w:t>若基金备案失败，管理人应返还投资者已缴纳的款项及期间的银行同期活期存款利息。</w:t>
      </w:r>
    </w:p>
    <w:p>
      <w:pPr>
        <w:pStyle w:val="81"/>
        <w:rPr>
          <w:color w:val="auto"/>
          <w:highlight w:val="none"/>
          <w:u w:val="none"/>
        </w:rPr>
      </w:pPr>
      <w:r>
        <w:rPr>
          <w:color w:val="auto"/>
          <w:highlight w:val="none"/>
          <w:u w:val="none"/>
        </w:rPr>
        <w:t>(四)基金初始销售失败的处理</w:t>
      </w:r>
    </w:p>
    <w:p>
      <w:pPr>
        <w:pStyle w:val="81"/>
        <w:rPr>
          <w:color w:val="auto"/>
          <w:highlight w:val="none"/>
          <w:u w:val="none"/>
        </w:rPr>
      </w:pPr>
      <w:r>
        <w:rPr>
          <w:color w:val="auto"/>
          <w:highlight w:val="none"/>
          <w:u w:val="none"/>
        </w:rPr>
        <w:t>1.初始销售期限届满，不符合本节第（一）款约定的条件的，则本基金初始销售失败。</w:t>
      </w:r>
    </w:p>
    <w:p>
      <w:pPr>
        <w:pStyle w:val="81"/>
        <w:rPr>
          <w:color w:val="auto"/>
          <w:highlight w:val="none"/>
          <w:u w:val="none"/>
        </w:rPr>
      </w:pPr>
      <w:r>
        <w:rPr>
          <w:color w:val="auto"/>
          <w:highlight w:val="none"/>
          <w:u w:val="none"/>
        </w:rPr>
        <w:t>2.本基金初始销售失败的，</w:t>
      </w:r>
      <w:r>
        <w:rPr>
          <w:color w:val="auto"/>
          <w:szCs w:val="21"/>
          <w:highlight w:val="none"/>
          <w:u w:val="none"/>
        </w:rPr>
        <w:t>管理人</w:t>
      </w:r>
      <w:r>
        <w:rPr>
          <w:color w:val="auto"/>
          <w:highlight w:val="none"/>
          <w:u w:val="none"/>
        </w:rPr>
        <w:t>应当承担下列责任：</w:t>
      </w:r>
    </w:p>
    <w:p>
      <w:pPr>
        <w:pStyle w:val="81"/>
        <w:rPr>
          <w:color w:val="auto"/>
          <w:highlight w:val="none"/>
          <w:u w:val="none"/>
        </w:rPr>
      </w:pPr>
      <w:r>
        <w:rPr>
          <w:rFonts w:hint="eastAsia"/>
          <w:color w:val="auto"/>
          <w:highlight w:val="none"/>
          <w:u w:val="none"/>
        </w:rPr>
        <w:t>（</w:t>
      </w:r>
      <w:r>
        <w:rPr>
          <w:color w:val="auto"/>
          <w:highlight w:val="none"/>
          <w:u w:val="none"/>
        </w:rPr>
        <w:t>1）以其固有财产承担因销售行为而产生的债务和费用；</w:t>
      </w:r>
    </w:p>
    <w:p>
      <w:pPr>
        <w:pStyle w:val="81"/>
        <w:rPr>
          <w:color w:val="auto"/>
          <w:highlight w:val="none"/>
          <w:u w:val="none"/>
        </w:rPr>
      </w:pPr>
      <w:r>
        <w:rPr>
          <w:rFonts w:hint="eastAsia"/>
          <w:color w:val="auto"/>
          <w:highlight w:val="none"/>
          <w:u w:val="none"/>
        </w:rPr>
        <w:t>（</w:t>
      </w:r>
      <w:r>
        <w:rPr>
          <w:color w:val="auto"/>
          <w:highlight w:val="none"/>
          <w:u w:val="none"/>
        </w:rPr>
        <w:t>2）在初始销售期间届满后30个工作日内返还投资者已缴纳的款项，并加计自交付之日（含该日）起至退还之日（不含该日）止的期间的银行同期活期存款利息。</w:t>
      </w:r>
    </w:p>
    <w:p>
      <w:pPr>
        <w:pStyle w:val="81"/>
        <w:rPr>
          <w:color w:val="auto"/>
          <w:highlight w:val="none"/>
          <w:u w:val="none"/>
        </w:rPr>
      </w:pPr>
      <w:r>
        <w:rPr>
          <w:color w:val="auto"/>
          <w:highlight w:val="none"/>
          <w:u w:val="none"/>
        </w:rPr>
        <w:t>3.基金初始销售失败的，投资者应向管理人退还全部基金文件；管理人、托管人、</w:t>
      </w:r>
      <w:r>
        <w:rPr>
          <w:rFonts w:hint="eastAsia"/>
          <w:color w:val="auto"/>
          <w:highlight w:val="none"/>
          <w:u w:val="none"/>
        </w:rPr>
        <w:t>募集机构</w:t>
      </w:r>
      <w:r>
        <w:rPr>
          <w:color w:val="auto"/>
          <w:highlight w:val="none"/>
          <w:u w:val="none"/>
        </w:rPr>
        <w:t>不得向投资者收取任何费用或主张任何报酬。</w:t>
      </w:r>
    </w:p>
    <w:p>
      <w:pPr>
        <w:pStyle w:val="81"/>
        <w:rPr>
          <w:color w:val="auto"/>
          <w:highlight w:val="none"/>
          <w:u w:val="none"/>
        </w:rPr>
      </w:pPr>
    </w:p>
    <w:p>
      <w:pPr>
        <w:pStyle w:val="4"/>
        <w:snapToGrid/>
        <w:spacing w:beforeLines="100" w:afterLines="50"/>
        <w:rPr>
          <w:rFonts w:ascii="楷体" w:hAnsi="楷体" w:eastAsia="楷体"/>
          <w:color w:val="auto"/>
          <w:sz w:val="24"/>
          <w:highlight w:val="none"/>
          <w:u w:val="none"/>
        </w:rPr>
      </w:pPr>
      <w:bookmarkStart w:id="22" w:name="_Toc260056784"/>
      <w:bookmarkStart w:id="23" w:name="_Toc482974531"/>
      <w:r>
        <w:rPr>
          <w:rFonts w:ascii="楷体" w:hAnsi="楷体" w:eastAsia="楷体"/>
          <w:color w:val="auto"/>
          <w:sz w:val="24"/>
          <w:highlight w:val="none"/>
          <w:u w:val="none"/>
        </w:rPr>
        <w:t>第</w:t>
      </w:r>
      <w:r>
        <w:rPr>
          <w:rFonts w:hint="eastAsia" w:ascii="楷体" w:hAnsi="楷体" w:eastAsia="楷体"/>
          <w:color w:val="auto"/>
          <w:sz w:val="24"/>
          <w:highlight w:val="none"/>
          <w:u w:val="none"/>
        </w:rPr>
        <w:t>七</w:t>
      </w:r>
      <w:r>
        <w:rPr>
          <w:rFonts w:ascii="楷体" w:hAnsi="楷体" w:eastAsia="楷体"/>
          <w:color w:val="auto"/>
          <w:sz w:val="24"/>
          <w:highlight w:val="none"/>
          <w:u w:val="none"/>
        </w:rPr>
        <w:t>节基金的投资</w:t>
      </w:r>
      <w:bookmarkEnd w:id="22"/>
      <w:bookmarkEnd w:id="23"/>
    </w:p>
    <w:p>
      <w:pPr>
        <w:pStyle w:val="81"/>
        <w:rPr>
          <w:color w:val="auto"/>
          <w:highlight w:val="none"/>
          <w:u w:val="none"/>
        </w:rPr>
      </w:pPr>
      <w:r>
        <w:rPr>
          <w:color w:val="auto"/>
          <w:highlight w:val="none"/>
          <w:u w:val="none"/>
        </w:rPr>
        <w:t>(</w:t>
      </w:r>
      <w:r>
        <w:rPr>
          <w:rFonts w:hint="eastAsia"/>
          <w:color w:val="auto"/>
          <w:highlight w:val="none"/>
          <w:u w:val="none"/>
        </w:rPr>
        <w:t>一</w:t>
      </w:r>
      <w:r>
        <w:rPr>
          <w:color w:val="auto"/>
          <w:highlight w:val="none"/>
          <w:u w:val="none"/>
        </w:rPr>
        <w:t>)投资目标</w:t>
      </w:r>
    </w:p>
    <w:p>
      <w:pPr>
        <w:pStyle w:val="81"/>
        <w:rPr>
          <w:color w:val="auto"/>
          <w:highlight w:val="none"/>
          <w:u w:val="none"/>
        </w:rPr>
      </w:pPr>
      <w:r>
        <w:rPr>
          <w:color w:val="auto"/>
          <w:highlight w:val="none"/>
          <w:u w:val="none"/>
        </w:rPr>
        <w:t>在控制风险的前提下，追求本基金财产的增值。</w:t>
      </w:r>
    </w:p>
    <w:p>
      <w:pPr>
        <w:pStyle w:val="81"/>
        <w:rPr>
          <w:color w:val="auto"/>
          <w:highlight w:val="none"/>
          <w:u w:val="none"/>
        </w:rPr>
      </w:pPr>
      <w:r>
        <w:rPr>
          <w:color w:val="auto"/>
          <w:highlight w:val="none"/>
          <w:u w:val="none"/>
        </w:rPr>
        <w:t>(二)</w:t>
      </w:r>
      <w:r>
        <w:rPr>
          <w:rFonts w:hint="eastAsia"/>
          <w:color w:val="auto"/>
          <w:highlight w:val="none"/>
          <w:u w:val="none"/>
        </w:rPr>
        <w:t>投资范围</w:t>
      </w:r>
    </w:p>
    <w:p>
      <w:pPr>
        <w:pStyle w:val="81"/>
        <w:rPr>
          <w:color w:val="auto"/>
          <w:highlight w:val="none"/>
          <w:u w:val="none"/>
        </w:rPr>
      </w:pPr>
      <w:r>
        <w:rPr>
          <w:color w:val="auto"/>
          <w:highlight w:val="none"/>
          <w:u w:val="none"/>
        </w:rPr>
        <w:t>本基金</w:t>
      </w:r>
      <w:r>
        <w:rPr>
          <w:rFonts w:hint="eastAsia"/>
          <w:color w:val="auto"/>
          <w:highlight w:val="none"/>
          <w:u w:val="none"/>
        </w:rPr>
        <w:t>投资</w:t>
      </w:r>
      <w:r>
        <w:rPr>
          <w:color w:val="auto"/>
          <w:highlight w:val="none"/>
          <w:u w:val="none"/>
        </w:rPr>
        <w:t>范围为</w:t>
      </w:r>
      <w:r>
        <w:rPr>
          <w:rFonts w:hint="eastAsia"/>
          <w:color w:val="auto"/>
          <w:highlight w:val="none"/>
          <w:u w:val="none"/>
        </w:rPr>
        <w:t>：</w:t>
      </w:r>
      <w:r>
        <w:rPr>
          <w:color w:val="auto"/>
          <w:highlight w:val="none"/>
          <w:u w:val="none"/>
        </w:rPr>
        <w:t xml:space="preserve"> </w:t>
      </w:r>
    </w:p>
    <w:p>
      <w:pPr>
        <w:pStyle w:val="81"/>
        <w:rPr>
          <w:color w:val="auto"/>
          <w:highlight w:val="none"/>
          <w:u w:val="none"/>
        </w:rPr>
      </w:pPr>
      <w:r>
        <w:rPr>
          <w:color w:val="auto"/>
          <w:highlight w:val="none"/>
          <w:u w:val="none"/>
        </w:rPr>
        <w:t>1.</w:t>
      </w:r>
      <w:r>
        <w:rPr>
          <w:rFonts w:hint="eastAsia"/>
          <w:color w:val="auto"/>
          <w:highlight w:val="none"/>
          <w:u w:val="none"/>
        </w:rPr>
        <w:t>上市公司股票（含新股申购）；</w:t>
      </w:r>
      <w:r>
        <w:rPr>
          <w:color w:val="auto"/>
          <w:highlight w:val="none"/>
          <w:u w:val="none"/>
        </w:rPr>
        <w:t xml:space="preserve"> </w:t>
      </w:r>
    </w:p>
    <w:p>
      <w:pPr>
        <w:pStyle w:val="81"/>
        <w:rPr>
          <w:color w:val="auto"/>
          <w:highlight w:val="none"/>
          <w:u w:val="none"/>
        </w:rPr>
      </w:pPr>
      <w:r>
        <w:rPr>
          <w:color w:val="auto"/>
          <w:highlight w:val="none"/>
          <w:u w:val="none"/>
        </w:rPr>
        <w:t>2.</w:t>
      </w:r>
      <w:r>
        <w:rPr>
          <w:rFonts w:hint="eastAsia"/>
          <w:color w:val="auto"/>
          <w:highlight w:val="none"/>
          <w:u w:val="none"/>
        </w:rPr>
        <w:t>交易所上市</w:t>
      </w:r>
      <w:r>
        <w:rPr>
          <w:color w:val="auto"/>
          <w:highlight w:val="none"/>
          <w:u w:val="none"/>
        </w:rPr>
        <w:t>基金的</w:t>
      </w:r>
      <w:r>
        <w:rPr>
          <w:rFonts w:hint="eastAsia"/>
          <w:color w:val="auto"/>
          <w:highlight w:val="none"/>
          <w:u w:val="none"/>
        </w:rPr>
        <w:t>交易</w:t>
      </w:r>
      <w:r>
        <w:rPr>
          <w:color w:val="auto"/>
          <w:highlight w:val="none"/>
          <w:u w:val="none"/>
        </w:rPr>
        <w:t>及申赎（</w:t>
      </w:r>
      <w:r>
        <w:rPr>
          <w:rFonts w:hint="eastAsia"/>
          <w:color w:val="auto"/>
          <w:highlight w:val="none"/>
          <w:u w:val="none"/>
        </w:rPr>
        <w:t>不</w:t>
      </w:r>
      <w:r>
        <w:rPr>
          <w:color w:val="auto"/>
          <w:highlight w:val="none"/>
          <w:u w:val="none"/>
        </w:rPr>
        <w:t>包括ETF申赎）</w:t>
      </w:r>
      <w:r>
        <w:rPr>
          <w:rFonts w:hint="eastAsia"/>
          <w:color w:val="auto"/>
          <w:highlight w:val="none"/>
          <w:u w:val="none"/>
        </w:rPr>
        <w:t>、</w:t>
      </w:r>
      <w:r>
        <w:rPr>
          <w:color w:val="auto"/>
          <w:highlight w:val="none"/>
          <w:u w:val="none"/>
        </w:rPr>
        <w:t>场外开放式公募基金</w:t>
      </w:r>
      <w:r>
        <w:rPr>
          <w:rFonts w:hint="eastAsia"/>
          <w:color w:val="auto"/>
          <w:highlight w:val="none"/>
          <w:u w:val="none"/>
        </w:rPr>
        <w:t>；</w:t>
      </w:r>
    </w:p>
    <w:p>
      <w:pPr>
        <w:pStyle w:val="81"/>
        <w:rPr>
          <w:color w:val="auto"/>
          <w:highlight w:val="none"/>
          <w:u w:val="none"/>
        </w:rPr>
      </w:pPr>
      <w:r>
        <w:rPr>
          <w:color w:val="auto"/>
          <w:highlight w:val="none"/>
          <w:u w:val="none"/>
        </w:rPr>
        <w:t>3.</w:t>
      </w:r>
      <w:r>
        <w:rPr>
          <w:rFonts w:hint="eastAsia"/>
          <w:color w:val="auto"/>
          <w:highlight w:val="none"/>
          <w:u w:val="none"/>
        </w:rPr>
        <w:t>港股通；</w:t>
      </w:r>
    </w:p>
    <w:p>
      <w:pPr>
        <w:pStyle w:val="81"/>
        <w:rPr>
          <w:color w:val="auto"/>
          <w:highlight w:val="none"/>
          <w:u w:val="none"/>
        </w:rPr>
      </w:pPr>
      <w:r>
        <w:rPr>
          <w:color w:val="auto"/>
          <w:highlight w:val="none"/>
          <w:u w:val="none"/>
        </w:rPr>
        <w:t>4.</w:t>
      </w:r>
      <w:r>
        <w:rPr>
          <w:rFonts w:hint="eastAsia"/>
          <w:color w:val="auto"/>
          <w:highlight w:val="none"/>
          <w:u w:val="none"/>
        </w:rPr>
        <w:t>融资融券；</w:t>
      </w:r>
    </w:p>
    <w:p>
      <w:pPr>
        <w:pStyle w:val="81"/>
        <w:rPr>
          <w:color w:val="auto"/>
          <w:highlight w:val="none"/>
          <w:u w:val="none"/>
        </w:rPr>
      </w:pPr>
      <w:r>
        <w:rPr>
          <w:color w:val="auto"/>
          <w:highlight w:val="none"/>
          <w:u w:val="none"/>
        </w:rPr>
        <w:t>5.</w:t>
      </w:r>
      <w:r>
        <w:rPr>
          <w:rFonts w:hint="eastAsia"/>
          <w:color w:val="auto"/>
          <w:highlight w:val="none"/>
          <w:u w:val="none"/>
        </w:rPr>
        <w:t>现金</w:t>
      </w:r>
      <w:r>
        <w:rPr>
          <w:color w:val="auto"/>
          <w:highlight w:val="none"/>
          <w:u w:val="none"/>
        </w:rPr>
        <w:t>、银行</w:t>
      </w:r>
      <w:r>
        <w:rPr>
          <w:rFonts w:hint="eastAsia"/>
          <w:color w:val="auto"/>
          <w:highlight w:val="none"/>
          <w:u w:val="none"/>
        </w:rPr>
        <w:t>存款</w:t>
      </w:r>
      <w:r>
        <w:rPr>
          <w:color w:val="auto"/>
          <w:highlight w:val="none"/>
          <w:u w:val="none"/>
        </w:rPr>
        <w:t>、</w:t>
      </w:r>
      <w:r>
        <w:rPr>
          <w:rFonts w:hint="eastAsia"/>
          <w:color w:val="auto"/>
          <w:highlight w:val="none"/>
          <w:u w:val="none"/>
        </w:rPr>
        <w:t>货币</w:t>
      </w:r>
      <w:r>
        <w:rPr>
          <w:color w:val="auto"/>
          <w:highlight w:val="none"/>
          <w:u w:val="none"/>
        </w:rPr>
        <w:t>基金</w:t>
      </w:r>
      <w:r>
        <w:rPr>
          <w:rFonts w:hint="eastAsia"/>
          <w:color w:val="auto"/>
          <w:highlight w:val="none"/>
          <w:u w:val="none"/>
        </w:rPr>
        <w:t>及现金管理类资产管理计划。</w:t>
      </w:r>
    </w:p>
    <w:p>
      <w:pPr>
        <w:pStyle w:val="81"/>
        <w:rPr>
          <w:color w:val="auto"/>
          <w:highlight w:val="none"/>
          <w:u w:val="none"/>
        </w:rPr>
      </w:pPr>
      <w:r>
        <w:rPr>
          <w:rFonts w:hint="eastAsia"/>
          <w:color w:val="auto"/>
          <w:highlight w:val="none"/>
          <w:u w:val="none"/>
        </w:rPr>
        <w:t>基金在中国基金业协会完成备案后方可进行投资运作。</w:t>
      </w:r>
    </w:p>
    <w:p>
      <w:pPr>
        <w:pStyle w:val="81"/>
        <w:rPr>
          <w:color w:val="auto"/>
          <w:highlight w:val="none"/>
          <w:u w:val="none"/>
        </w:rPr>
      </w:pPr>
      <w:r>
        <w:rPr>
          <w:color w:val="auto"/>
          <w:highlight w:val="none"/>
          <w:u w:val="none"/>
        </w:rPr>
        <w:t>(三)</w:t>
      </w:r>
      <w:r>
        <w:rPr>
          <w:rFonts w:hint="eastAsia"/>
          <w:color w:val="auto"/>
          <w:highlight w:val="none"/>
          <w:u w:val="none"/>
        </w:rPr>
        <w:t>投资策略</w:t>
      </w:r>
    </w:p>
    <w:p>
      <w:pPr>
        <w:pStyle w:val="81"/>
        <w:rPr>
          <w:color w:val="auto"/>
          <w:highlight w:val="none"/>
          <w:u w:val="none"/>
        </w:rPr>
      </w:pPr>
      <w:r>
        <w:rPr>
          <w:rFonts w:hint="eastAsia"/>
          <w:color w:val="auto"/>
          <w:highlight w:val="none"/>
          <w:u w:val="none"/>
        </w:rPr>
        <w:t>以价值投资为鲜明特征，追求长期稳健的复利增长。</w:t>
      </w:r>
    </w:p>
    <w:p>
      <w:pPr>
        <w:pStyle w:val="81"/>
        <w:rPr>
          <w:color w:val="auto"/>
          <w:highlight w:val="none"/>
          <w:u w:val="none"/>
        </w:rPr>
      </w:pPr>
      <w:r>
        <w:rPr>
          <w:color w:val="auto"/>
          <w:highlight w:val="none"/>
          <w:u w:val="none"/>
        </w:rPr>
        <w:t>(四)投资限制</w:t>
      </w:r>
    </w:p>
    <w:p>
      <w:pPr>
        <w:pStyle w:val="81"/>
        <w:rPr>
          <w:color w:val="auto"/>
          <w:highlight w:val="none"/>
          <w:u w:val="none"/>
        </w:rPr>
      </w:pPr>
      <w:r>
        <w:rPr>
          <w:color w:val="auto"/>
          <w:highlight w:val="none"/>
          <w:u w:val="none"/>
        </w:rPr>
        <w:t>1.</w:t>
      </w:r>
      <w:r>
        <w:rPr>
          <w:rFonts w:hint="eastAsia"/>
          <w:color w:val="auto"/>
          <w:highlight w:val="none"/>
          <w:u w:val="none"/>
        </w:rPr>
        <w:t>本基金</w:t>
      </w:r>
      <w:r>
        <w:rPr>
          <w:rFonts w:hint="eastAsia"/>
          <w:color w:val="auto"/>
          <w:szCs w:val="21"/>
          <w:highlight w:val="none"/>
          <w:u w:val="none"/>
        </w:rPr>
        <w:t>存续期内，基金总资产与净资产的</w:t>
      </w:r>
      <w:r>
        <w:rPr>
          <w:rFonts w:hint="eastAsia"/>
          <w:color w:val="auto"/>
          <w:highlight w:val="none"/>
          <w:u w:val="none"/>
        </w:rPr>
        <w:t>比例</w:t>
      </w:r>
      <w:r>
        <w:rPr>
          <w:rFonts w:hint="eastAsia"/>
          <w:color w:val="auto"/>
          <w:szCs w:val="21"/>
          <w:highlight w:val="none"/>
          <w:u w:val="none"/>
        </w:rPr>
        <w:t>不得超过</w:t>
      </w:r>
      <w:r>
        <w:rPr>
          <w:color w:val="auto"/>
          <w:szCs w:val="21"/>
          <w:highlight w:val="none"/>
          <w:u w:val="none"/>
        </w:rPr>
        <w:t>200%</w:t>
      </w:r>
      <w:r>
        <w:rPr>
          <w:rFonts w:hint="eastAsia"/>
          <w:color w:val="auto"/>
          <w:highlight w:val="none"/>
          <w:u w:val="none"/>
        </w:rPr>
        <w:t>。</w:t>
      </w:r>
    </w:p>
    <w:p>
      <w:pPr>
        <w:pStyle w:val="81"/>
        <w:rPr>
          <w:color w:val="auto"/>
          <w:highlight w:val="none"/>
          <w:u w:val="none"/>
        </w:rPr>
      </w:pPr>
      <w:r>
        <w:rPr>
          <w:color w:val="auto"/>
          <w:highlight w:val="none"/>
          <w:u w:val="none"/>
        </w:rPr>
        <w:t>2.</w:t>
      </w:r>
      <w:r>
        <w:rPr>
          <w:rFonts w:hint="eastAsia"/>
          <w:color w:val="auto"/>
          <w:highlight w:val="none"/>
          <w:u w:val="none"/>
        </w:rPr>
        <w:t>本基金参与申购新股，申报的金额不得超过本基金的总资产，申报的数量不得超过拟发行股票公司本次发行股票的总量。</w:t>
      </w:r>
    </w:p>
    <w:p>
      <w:pPr>
        <w:pStyle w:val="81"/>
        <w:rPr>
          <w:color w:val="auto"/>
          <w:highlight w:val="none"/>
          <w:u w:val="none"/>
        </w:rPr>
      </w:pPr>
      <w:r>
        <w:rPr>
          <w:color w:val="auto"/>
          <w:highlight w:val="none"/>
          <w:u w:val="none"/>
        </w:rPr>
        <w:t>3.</w:t>
      </w:r>
      <w:r>
        <w:rPr>
          <w:rFonts w:hint="eastAsia"/>
          <w:color w:val="auto"/>
          <w:highlight w:val="none"/>
          <w:u w:val="none"/>
        </w:rPr>
        <w:t>不得投资证券大宗交易。</w:t>
      </w:r>
    </w:p>
    <w:p>
      <w:pPr>
        <w:pStyle w:val="81"/>
        <w:rPr>
          <w:color w:val="auto"/>
          <w:highlight w:val="none"/>
          <w:u w:val="none"/>
        </w:rPr>
      </w:pPr>
      <w:r>
        <w:rPr>
          <w:color w:val="auto"/>
          <w:highlight w:val="none"/>
          <w:u w:val="none"/>
        </w:rPr>
        <w:t>(五)投资禁止行为</w:t>
      </w:r>
    </w:p>
    <w:p>
      <w:pPr>
        <w:pStyle w:val="81"/>
        <w:rPr>
          <w:color w:val="auto"/>
          <w:highlight w:val="none"/>
          <w:u w:val="none"/>
        </w:rPr>
      </w:pPr>
      <w:r>
        <w:rPr>
          <w:color w:val="auto"/>
          <w:highlight w:val="none"/>
          <w:u w:val="none"/>
        </w:rPr>
        <w:t>本基金财产禁止从事下列行为：</w:t>
      </w:r>
    </w:p>
    <w:p>
      <w:pPr>
        <w:pStyle w:val="81"/>
        <w:rPr>
          <w:color w:val="auto"/>
          <w:szCs w:val="21"/>
          <w:highlight w:val="none"/>
          <w:u w:val="none"/>
        </w:rPr>
      </w:pPr>
      <w:r>
        <w:rPr>
          <w:color w:val="auto"/>
          <w:szCs w:val="21"/>
          <w:highlight w:val="none"/>
          <w:u w:val="none"/>
        </w:rPr>
        <w:t>1.</w:t>
      </w:r>
      <w:r>
        <w:rPr>
          <w:rFonts w:hint="eastAsia"/>
          <w:color w:val="auto"/>
          <w:highlight w:val="none"/>
          <w:u w:val="none"/>
        </w:rPr>
        <w:t>无理由放弃表决权等股东权利，或因牟取其他利益而做出损害本基金利益</w:t>
      </w:r>
      <w:r>
        <w:rPr>
          <w:rFonts w:hint="eastAsia"/>
          <w:color w:val="auto"/>
          <w:szCs w:val="21"/>
          <w:highlight w:val="none"/>
          <w:u w:val="none"/>
        </w:rPr>
        <w:t>的表决决定。</w:t>
      </w:r>
    </w:p>
    <w:p>
      <w:pPr>
        <w:pStyle w:val="81"/>
        <w:rPr>
          <w:color w:val="auto"/>
          <w:szCs w:val="21"/>
          <w:highlight w:val="none"/>
          <w:u w:val="none"/>
        </w:rPr>
      </w:pPr>
      <w:r>
        <w:rPr>
          <w:color w:val="auto"/>
          <w:szCs w:val="21"/>
          <w:highlight w:val="none"/>
          <w:u w:val="none"/>
        </w:rPr>
        <w:t>2.承销证券；</w:t>
      </w:r>
    </w:p>
    <w:p>
      <w:pPr>
        <w:pStyle w:val="81"/>
        <w:rPr>
          <w:color w:val="auto"/>
          <w:szCs w:val="21"/>
          <w:highlight w:val="none"/>
          <w:u w:val="none"/>
        </w:rPr>
      </w:pPr>
      <w:r>
        <w:rPr>
          <w:color w:val="auto"/>
          <w:szCs w:val="21"/>
          <w:highlight w:val="none"/>
          <w:u w:val="none"/>
        </w:rPr>
        <w:t>3.从事承担无限责任的投资；</w:t>
      </w:r>
    </w:p>
    <w:p>
      <w:pPr>
        <w:pStyle w:val="81"/>
        <w:rPr>
          <w:color w:val="auto"/>
          <w:szCs w:val="21"/>
          <w:highlight w:val="none"/>
          <w:u w:val="none"/>
        </w:rPr>
      </w:pPr>
      <w:r>
        <w:rPr>
          <w:color w:val="auto"/>
          <w:szCs w:val="21"/>
          <w:highlight w:val="none"/>
          <w:u w:val="none"/>
        </w:rPr>
        <w:t>4.利用基金资产为基金投资者之外的任何第三方谋取不正当利益、进行利益输送；</w:t>
      </w:r>
    </w:p>
    <w:p>
      <w:pPr>
        <w:pStyle w:val="81"/>
        <w:rPr>
          <w:color w:val="auto"/>
          <w:szCs w:val="21"/>
          <w:highlight w:val="none"/>
          <w:u w:val="none"/>
        </w:rPr>
      </w:pPr>
      <w:r>
        <w:rPr>
          <w:color w:val="auto"/>
          <w:szCs w:val="21"/>
          <w:highlight w:val="none"/>
          <w:u w:val="none"/>
        </w:rPr>
        <w:t>5.从事内幕交易、操纵证券价格及其他不正当的证券交易活动；</w:t>
      </w:r>
    </w:p>
    <w:p>
      <w:pPr>
        <w:pStyle w:val="81"/>
        <w:rPr>
          <w:color w:val="auto"/>
          <w:szCs w:val="21"/>
          <w:highlight w:val="none"/>
          <w:u w:val="none"/>
        </w:rPr>
      </w:pPr>
      <w:r>
        <w:rPr>
          <w:color w:val="auto"/>
          <w:szCs w:val="21"/>
          <w:highlight w:val="none"/>
          <w:u w:val="none"/>
        </w:rPr>
        <w:t>6.法律法规、中国证监会、基金业协会以及本合同规定禁止从事的其他行为。</w:t>
      </w:r>
    </w:p>
    <w:p>
      <w:pPr>
        <w:pStyle w:val="81"/>
        <w:rPr>
          <w:color w:val="auto"/>
          <w:szCs w:val="21"/>
          <w:highlight w:val="none"/>
          <w:u w:val="none"/>
        </w:rPr>
      </w:pPr>
      <w:r>
        <w:rPr>
          <w:color w:val="auto"/>
          <w:szCs w:val="21"/>
          <w:highlight w:val="none"/>
          <w:u w:val="none"/>
        </w:rPr>
        <w:t>(六)投资经理的指定及变更</w:t>
      </w:r>
    </w:p>
    <w:p>
      <w:pPr>
        <w:pStyle w:val="81"/>
        <w:rPr>
          <w:color w:val="auto"/>
          <w:szCs w:val="21"/>
          <w:highlight w:val="none"/>
          <w:u w:val="none"/>
        </w:rPr>
      </w:pPr>
      <w:r>
        <w:rPr>
          <w:color w:val="auto"/>
          <w:szCs w:val="21"/>
          <w:highlight w:val="none"/>
          <w:u w:val="none"/>
        </w:rPr>
        <w:t>1.本基金投资经理由管理人负责指定。</w:t>
      </w:r>
    </w:p>
    <w:p>
      <w:pPr>
        <w:pStyle w:val="81"/>
        <w:rPr>
          <w:color w:val="auto"/>
          <w:highlight w:val="none"/>
          <w:u w:val="none"/>
        </w:rPr>
      </w:pPr>
      <w:r>
        <w:rPr>
          <w:color w:val="auto"/>
          <w:szCs w:val="21"/>
          <w:highlight w:val="none"/>
          <w:u w:val="none"/>
        </w:rPr>
        <w:t>本基金投资经理为：</w:t>
      </w:r>
      <w:r>
        <w:rPr>
          <w:rFonts w:hint="eastAsia"/>
          <w:color w:val="auto"/>
          <w:szCs w:val="21"/>
          <w:highlight w:val="none"/>
          <w:u w:val="none"/>
        </w:rPr>
        <w:t>蔡海洪</w:t>
      </w:r>
      <w:r>
        <w:rPr>
          <w:color w:val="auto"/>
          <w:szCs w:val="21"/>
          <w:highlight w:val="none"/>
          <w:u w:val="none"/>
        </w:rPr>
        <w:t>。</w:t>
      </w:r>
    </w:p>
    <w:p>
      <w:pPr>
        <w:pStyle w:val="81"/>
        <w:rPr>
          <w:color w:val="auto"/>
          <w:highlight w:val="none"/>
          <w:u w:val="none"/>
        </w:rPr>
      </w:pPr>
      <w:r>
        <w:rPr>
          <w:color w:val="auto"/>
          <w:szCs w:val="21"/>
          <w:highlight w:val="none"/>
          <w:u w:val="none"/>
        </w:rPr>
        <w:t>投资经理简历如下：</w:t>
      </w:r>
      <w:r>
        <w:rPr>
          <w:rFonts w:hint="eastAsia"/>
          <w:color w:val="auto"/>
          <w:szCs w:val="21"/>
          <w:highlight w:val="none"/>
          <w:u w:val="none"/>
        </w:rPr>
        <w:t>蔡海洪，南开大学信息管理专业学士、厦门大学管理学硕士，拥有</w:t>
      </w:r>
      <w:r>
        <w:rPr>
          <w:color w:val="auto"/>
          <w:szCs w:val="21"/>
          <w:highlight w:val="none"/>
          <w:u w:val="none"/>
        </w:rPr>
        <w:t>14年从业经验，其中有9年投资经验；2003年7月至2005年5月就职于招商证券股份有限公司，2005年5月2015年7月就职于易方达基金管理有限公司，历任研究员、机构部投资经理、公募权益</w:t>
      </w:r>
      <w:r>
        <w:rPr>
          <w:rFonts w:hint="eastAsia"/>
          <w:color w:val="auto"/>
          <w:szCs w:val="21"/>
          <w:highlight w:val="none"/>
          <w:u w:val="none"/>
        </w:rPr>
        <w:t>部基金经理，兼任易方达基金研究部副总经理。具体而言，</w:t>
      </w:r>
      <w:r>
        <w:rPr>
          <w:color w:val="auto"/>
          <w:szCs w:val="21"/>
          <w:highlight w:val="none"/>
          <w:u w:val="none"/>
        </w:rPr>
        <w:t>2008-2011年在易方达机构理财部先后负责过年金、专户和投资顾问等绝对收益产品，2012-2015上半年在易方达公</w:t>
      </w:r>
      <w:r>
        <w:rPr>
          <w:rFonts w:hint="eastAsia"/>
          <w:color w:val="auto"/>
          <w:szCs w:val="21"/>
          <w:highlight w:val="none"/>
          <w:u w:val="none"/>
        </w:rPr>
        <w:t>募基金投资部管理易方达策略成长</w:t>
      </w:r>
      <w:r>
        <w:rPr>
          <w:color w:val="auto"/>
          <w:szCs w:val="21"/>
          <w:highlight w:val="none"/>
          <w:u w:val="none"/>
        </w:rPr>
        <w:t>1号和策略成长2号两只产品。2015年8月成立</w:t>
      </w:r>
      <w:r>
        <w:rPr>
          <w:rFonts w:hint="eastAsia"/>
          <w:color w:val="auto"/>
          <w:szCs w:val="21"/>
          <w:highlight w:val="none"/>
          <w:u w:val="none"/>
        </w:rPr>
        <w:t>睿璞投资公司，</w:t>
      </w:r>
      <w:r>
        <w:rPr>
          <w:color w:val="auto"/>
          <w:szCs w:val="21"/>
          <w:highlight w:val="none"/>
          <w:u w:val="none"/>
        </w:rPr>
        <w:t>2015年12月7日第一只私募基金——</w:t>
      </w:r>
      <w:r>
        <w:rPr>
          <w:rFonts w:hint="eastAsia"/>
          <w:color w:val="auto"/>
          <w:szCs w:val="21"/>
          <w:highlight w:val="none"/>
          <w:u w:val="none"/>
        </w:rPr>
        <w:t>睿洪一号成立。私募期间目前管理三只产品（睿洪一号、睿华一号、睿洪二号）</w:t>
      </w:r>
    </w:p>
    <w:p>
      <w:pPr>
        <w:pStyle w:val="81"/>
        <w:rPr>
          <w:color w:val="auto"/>
          <w:highlight w:val="none"/>
          <w:u w:val="none"/>
        </w:rPr>
      </w:pPr>
      <w:r>
        <w:rPr>
          <w:color w:val="auto"/>
          <w:szCs w:val="21"/>
          <w:highlight w:val="none"/>
          <w:u w:val="none"/>
        </w:rPr>
        <w:t>2.管理人根据业务需要变更投资经理的，应在3个工作日内通知全体投资者和托管人。</w:t>
      </w:r>
    </w:p>
    <w:p>
      <w:pPr>
        <w:pStyle w:val="81"/>
        <w:rPr>
          <w:color w:val="auto"/>
          <w:highlight w:val="none"/>
          <w:u w:val="none"/>
        </w:rPr>
      </w:pPr>
      <w:r>
        <w:rPr>
          <w:color w:val="auto"/>
          <w:szCs w:val="21"/>
          <w:highlight w:val="none"/>
          <w:u w:val="none"/>
        </w:rPr>
        <w:t>(七)</w:t>
      </w:r>
      <w:r>
        <w:rPr>
          <w:rFonts w:hint="eastAsia"/>
          <w:color w:val="auto"/>
          <w:szCs w:val="21"/>
          <w:highlight w:val="none"/>
          <w:u w:val="none"/>
        </w:rPr>
        <w:t>业绩比较基准</w:t>
      </w:r>
    </w:p>
    <w:p>
      <w:pPr>
        <w:pStyle w:val="81"/>
        <w:rPr>
          <w:color w:val="auto"/>
          <w:szCs w:val="21"/>
          <w:highlight w:val="none"/>
          <w:u w:val="none"/>
        </w:rPr>
      </w:pPr>
      <w:r>
        <w:rPr>
          <w:rFonts w:hint="eastAsia"/>
          <w:color w:val="auto"/>
          <w:szCs w:val="21"/>
          <w:highlight w:val="none"/>
          <w:u w:val="none"/>
        </w:rPr>
        <w:t>本基金</w:t>
      </w:r>
      <w:r>
        <w:rPr>
          <w:color w:val="auto"/>
          <w:szCs w:val="21"/>
          <w:highlight w:val="none"/>
          <w:u w:val="none"/>
        </w:rPr>
        <w:t>不设置业绩比较基准</w:t>
      </w:r>
      <w:r>
        <w:rPr>
          <w:rFonts w:hint="eastAsia"/>
          <w:color w:val="auto"/>
          <w:szCs w:val="21"/>
          <w:highlight w:val="none"/>
          <w:u w:val="none"/>
        </w:rPr>
        <w:t>。</w:t>
      </w:r>
    </w:p>
    <w:p>
      <w:pPr>
        <w:pStyle w:val="81"/>
        <w:rPr>
          <w:color w:val="auto"/>
          <w:szCs w:val="21"/>
          <w:highlight w:val="none"/>
          <w:u w:val="none"/>
        </w:rPr>
      </w:pPr>
      <w:r>
        <w:rPr>
          <w:color w:val="auto"/>
          <w:szCs w:val="21"/>
          <w:highlight w:val="none"/>
          <w:u w:val="none"/>
        </w:rPr>
        <w:t>(八)</w:t>
      </w:r>
      <w:r>
        <w:rPr>
          <w:rFonts w:hint="eastAsia"/>
          <w:color w:val="auto"/>
          <w:szCs w:val="21"/>
          <w:highlight w:val="none"/>
          <w:u w:val="none"/>
        </w:rPr>
        <w:t>风险控制</w:t>
      </w:r>
    </w:p>
    <w:p>
      <w:pPr>
        <w:pStyle w:val="81"/>
        <w:rPr>
          <w:color w:val="auto"/>
          <w:szCs w:val="21"/>
          <w:highlight w:val="none"/>
          <w:u w:val="none"/>
        </w:rPr>
      </w:pPr>
      <w:r>
        <w:rPr>
          <w:rFonts w:hint="eastAsia"/>
          <w:color w:val="auto"/>
          <w:szCs w:val="21"/>
          <w:highlight w:val="none"/>
          <w:u w:val="none"/>
        </w:rPr>
        <w:t>本基金设置预警线及止损线。</w:t>
      </w:r>
    </w:p>
    <w:p>
      <w:pPr>
        <w:pStyle w:val="81"/>
        <w:rPr>
          <w:color w:val="auto"/>
          <w:szCs w:val="21"/>
          <w:highlight w:val="none"/>
          <w:u w:val="none"/>
        </w:rPr>
      </w:pPr>
      <w:r>
        <w:rPr>
          <w:color w:val="auto"/>
          <w:szCs w:val="21"/>
          <w:highlight w:val="none"/>
          <w:u w:val="none"/>
        </w:rPr>
        <w:t>1.</w:t>
      </w:r>
      <w:r>
        <w:rPr>
          <w:rFonts w:hint="eastAsia"/>
          <w:color w:val="auto"/>
          <w:szCs w:val="21"/>
          <w:highlight w:val="none"/>
          <w:u w:val="none"/>
        </w:rPr>
        <w:t>预警线</w:t>
      </w:r>
    </w:p>
    <w:p>
      <w:pPr>
        <w:pStyle w:val="81"/>
        <w:rPr>
          <w:color w:val="auto"/>
          <w:highlight w:val="none"/>
          <w:u w:val="none"/>
        </w:rPr>
      </w:pPr>
      <w:r>
        <w:rPr>
          <w:rFonts w:hint="eastAsia"/>
          <w:color w:val="auto"/>
          <w:highlight w:val="none"/>
          <w:u w:val="none"/>
        </w:rPr>
        <w:t>本基金的预警线为</w:t>
      </w:r>
      <w:r>
        <w:rPr>
          <w:color w:val="auto"/>
          <w:highlight w:val="none"/>
          <w:u w:val="none"/>
        </w:rPr>
        <w:t>0.850</w:t>
      </w:r>
      <w:r>
        <w:rPr>
          <w:rFonts w:hint="eastAsia"/>
          <w:color w:val="auto"/>
          <w:highlight w:val="none"/>
          <w:u w:val="none"/>
        </w:rPr>
        <w:t>元。若经管理人收盘后估算的基金参考份额净值（未经托管人复核）连续</w:t>
      </w:r>
      <w:r>
        <w:rPr>
          <w:color w:val="auto"/>
          <w:highlight w:val="none"/>
          <w:u w:val="none"/>
        </w:rPr>
        <w:t xml:space="preserve">10个工作日（第10个工作日为T日）等于或低于预警线，但未触及止损线，则视为本基金触及预警线，管理人应不再加开新仓，只能进行卖出或平仓操作，并在 T+1 </w:t>
      </w:r>
      <w:r>
        <w:rPr>
          <w:rFonts w:hint="eastAsia"/>
          <w:color w:val="auto"/>
          <w:highlight w:val="none"/>
          <w:u w:val="none"/>
        </w:rPr>
        <w:t>日起对投资组合进行调整，在</w:t>
      </w:r>
      <w:r>
        <w:rPr>
          <w:color w:val="auto"/>
          <w:highlight w:val="none"/>
          <w:u w:val="none"/>
        </w:rPr>
        <w:t xml:space="preserve"> T+2 </w:t>
      </w:r>
      <w:r>
        <w:rPr>
          <w:rFonts w:hint="eastAsia"/>
          <w:color w:val="auto"/>
          <w:highlight w:val="none"/>
          <w:u w:val="none"/>
        </w:rPr>
        <w:t>日内将权益类资产仓位降至</w:t>
      </w:r>
      <w:r>
        <w:rPr>
          <w:color w:val="auto"/>
          <w:highlight w:val="none"/>
          <w:u w:val="none"/>
        </w:rPr>
        <w:t>80%及以下的水平，直至基金</w:t>
      </w:r>
      <w:r>
        <w:rPr>
          <w:rFonts w:hint="eastAsia"/>
          <w:color w:val="auto"/>
          <w:highlight w:val="none"/>
          <w:u w:val="none"/>
        </w:rPr>
        <w:t>参考份额净值高于预警线方可进行新增开仓交易。</w:t>
      </w:r>
    </w:p>
    <w:p>
      <w:pPr>
        <w:spacing w:line="360" w:lineRule="auto"/>
        <w:ind w:firstLine="422" w:firstLineChars="200"/>
        <w:rPr>
          <w:rFonts w:ascii="楷体" w:hAnsi="楷体" w:eastAsia="楷体"/>
          <w:b/>
          <w:color w:val="auto"/>
          <w:highlight w:val="none"/>
          <w:u w:val="none"/>
        </w:rPr>
      </w:pPr>
      <w:r>
        <w:rPr>
          <w:rFonts w:hint="eastAsia" w:ascii="楷体" w:hAnsi="楷体" w:eastAsia="楷体"/>
          <w:b/>
          <w:color w:val="auto"/>
          <w:szCs w:val="21"/>
          <w:highlight w:val="none"/>
          <w:u w:val="none"/>
        </w:rPr>
        <w:t>本基金的基金参考份额净值由管理人自行估算，托管人和外包服务机构不对其进行复核，也不对其准确性承担任何责任。</w:t>
      </w:r>
    </w:p>
    <w:p>
      <w:pPr>
        <w:pStyle w:val="81"/>
        <w:rPr>
          <w:color w:val="auto"/>
          <w:highlight w:val="none"/>
          <w:u w:val="none"/>
        </w:rPr>
      </w:pPr>
      <w:r>
        <w:rPr>
          <w:color w:val="auto"/>
          <w:szCs w:val="21"/>
          <w:highlight w:val="none"/>
          <w:u w:val="none"/>
        </w:rPr>
        <w:t>2.</w:t>
      </w:r>
      <w:r>
        <w:rPr>
          <w:rFonts w:hint="eastAsia"/>
          <w:color w:val="auto"/>
          <w:szCs w:val="21"/>
          <w:highlight w:val="none"/>
          <w:u w:val="none"/>
        </w:rPr>
        <w:t>止损线</w:t>
      </w:r>
    </w:p>
    <w:p>
      <w:pPr>
        <w:pStyle w:val="81"/>
        <w:rPr>
          <w:color w:val="auto"/>
          <w:highlight w:val="none"/>
          <w:u w:val="none"/>
        </w:rPr>
      </w:pPr>
      <w:r>
        <w:rPr>
          <w:rFonts w:hint="eastAsia"/>
          <w:color w:val="auto"/>
          <w:highlight w:val="none"/>
          <w:u w:val="none"/>
        </w:rPr>
        <w:t>本基金的止损线为</w:t>
      </w:r>
      <w:r>
        <w:rPr>
          <w:color w:val="auto"/>
          <w:highlight w:val="none"/>
          <w:u w:val="none"/>
        </w:rPr>
        <w:t>0.800</w:t>
      </w:r>
      <w:r>
        <w:rPr>
          <w:rFonts w:hint="eastAsia"/>
          <w:color w:val="auto"/>
          <w:highlight w:val="none"/>
          <w:u w:val="none"/>
        </w:rPr>
        <w:t>元。若经管理人收盘后估算的基金参考份额净值（未经托管人复核）连续</w:t>
      </w:r>
      <w:r>
        <w:rPr>
          <w:color w:val="auto"/>
          <w:highlight w:val="none"/>
          <w:u w:val="none"/>
        </w:rPr>
        <w:t>10个工作日（第10个工作日为T日）等于或低于止损线，则视为本基金触及止损线，管理人应从T+1日开始对本基金持有的全部资产进行不可逆平仓，直至基金资产全部变为现金资产，该基金自行终止。为避免疑义，本基金根据本条款提前终止无需份额持有人大会决定。</w:t>
      </w:r>
    </w:p>
    <w:p>
      <w:pPr>
        <w:pStyle w:val="81"/>
        <w:rPr>
          <w:color w:val="auto"/>
          <w:highlight w:val="none"/>
          <w:u w:val="none"/>
        </w:rPr>
      </w:pPr>
      <w:r>
        <w:rPr>
          <w:color w:val="auto"/>
          <w:szCs w:val="21"/>
          <w:highlight w:val="none"/>
          <w:u w:val="none"/>
        </w:rPr>
        <w:t>3.</w:t>
      </w:r>
      <w:r>
        <w:rPr>
          <w:rFonts w:hint="eastAsia"/>
          <w:color w:val="auto"/>
          <w:szCs w:val="21"/>
          <w:highlight w:val="none"/>
          <w:u w:val="none"/>
        </w:rPr>
        <w:t>无论经托管人复核的基金份额净值与基金参考份额净值是否相同，管理人按照以上约定采取的措施，如果给本基金造成损失的，托管人及委托的外包服务机构不承担任何责任。</w:t>
      </w:r>
    </w:p>
    <w:p>
      <w:pPr>
        <w:pStyle w:val="81"/>
        <w:ind w:firstLine="422"/>
        <w:rPr>
          <w:b/>
          <w:color w:val="auto"/>
          <w:highlight w:val="none"/>
          <w:u w:val="none"/>
        </w:rPr>
      </w:pPr>
      <w:r>
        <w:rPr>
          <w:b/>
          <w:color w:val="auto"/>
          <w:szCs w:val="21"/>
          <w:highlight w:val="none"/>
          <w:u w:val="none"/>
        </w:rPr>
        <w:t>4.</w:t>
      </w:r>
      <w:r>
        <w:rPr>
          <w:rFonts w:hint="eastAsia"/>
          <w:b/>
          <w:color w:val="auto"/>
          <w:szCs w:val="21"/>
          <w:highlight w:val="none"/>
          <w:u w:val="none"/>
        </w:rPr>
        <w:t>托管人对于管理人是否妥当执行本第（八）条约定的风险控制措施不承担监督职责，管理人未按照本合同的约定进行预警止损操作，给基金财产或委托人造成损失的，由管理人承担相应责任，托管人不承担任何责任。</w:t>
      </w:r>
    </w:p>
    <w:p>
      <w:pPr>
        <w:pStyle w:val="81"/>
        <w:rPr>
          <w:color w:val="auto"/>
          <w:highlight w:val="none"/>
          <w:u w:val="none"/>
        </w:rPr>
      </w:pPr>
      <w:r>
        <w:rPr>
          <w:color w:val="auto"/>
          <w:szCs w:val="21"/>
          <w:highlight w:val="none"/>
          <w:u w:val="none"/>
        </w:rPr>
        <w:t>(九)</w:t>
      </w:r>
      <w:r>
        <w:rPr>
          <w:rFonts w:hint="eastAsia"/>
          <w:color w:val="auto"/>
          <w:szCs w:val="21"/>
          <w:highlight w:val="none"/>
          <w:u w:val="none"/>
        </w:rPr>
        <w:t>投资者或其授权代理人行使基金财产投资于证券所产生的权利的原则及方法</w:t>
      </w:r>
      <w:r>
        <w:rPr>
          <w:color w:val="auto"/>
          <w:szCs w:val="21"/>
          <w:highlight w:val="none"/>
          <w:u w:val="none"/>
        </w:rPr>
        <w:t xml:space="preserve">: </w:t>
      </w:r>
    </w:p>
    <w:p>
      <w:pPr>
        <w:pStyle w:val="81"/>
        <w:rPr>
          <w:color w:val="auto"/>
          <w:highlight w:val="none"/>
          <w:u w:val="none"/>
        </w:rPr>
      </w:pPr>
      <w:r>
        <w:rPr>
          <w:color w:val="auto"/>
          <w:szCs w:val="21"/>
          <w:highlight w:val="none"/>
          <w:u w:val="none"/>
        </w:rPr>
        <w:t>1.</w:t>
      </w:r>
      <w:r>
        <w:rPr>
          <w:rFonts w:hint="eastAsia"/>
          <w:color w:val="auto"/>
          <w:szCs w:val="21"/>
          <w:highlight w:val="none"/>
          <w:u w:val="none"/>
        </w:rPr>
        <w:t>不谋求对上市公司的控股，不参与所投资上市公司的经营管理；</w:t>
      </w:r>
    </w:p>
    <w:p>
      <w:pPr>
        <w:pStyle w:val="81"/>
        <w:rPr>
          <w:color w:val="auto"/>
          <w:highlight w:val="none"/>
          <w:u w:val="none"/>
        </w:rPr>
      </w:pPr>
      <w:r>
        <w:rPr>
          <w:color w:val="auto"/>
          <w:szCs w:val="21"/>
          <w:highlight w:val="none"/>
          <w:u w:val="none"/>
        </w:rPr>
        <w:t>2.</w:t>
      </w:r>
      <w:r>
        <w:rPr>
          <w:rFonts w:hint="eastAsia"/>
          <w:color w:val="auto"/>
          <w:szCs w:val="21"/>
          <w:highlight w:val="none"/>
          <w:u w:val="none"/>
        </w:rPr>
        <w:t>有利于基金财产的安全与增值。</w:t>
      </w:r>
    </w:p>
    <w:p>
      <w:pPr>
        <w:pStyle w:val="81"/>
        <w:rPr>
          <w:color w:val="auto"/>
          <w:highlight w:val="none"/>
          <w:u w:val="none"/>
        </w:rPr>
      </w:pPr>
      <w:r>
        <w:rPr>
          <w:rFonts w:hint="eastAsia"/>
          <w:color w:val="auto"/>
          <w:highlight w:val="none"/>
          <w:u w:val="none"/>
        </w:rPr>
        <w:t>管理人按照国家有关法律法规的规定代表基金独立行使股东权利</w:t>
      </w:r>
      <w:r>
        <w:rPr>
          <w:color w:val="auto"/>
          <w:highlight w:val="none"/>
          <w:u w:val="none"/>
        </w:rPr>
        <w:t xml:space="preserve">, </w:t>
      </w:r>
      <w:r>
        <w:rPr>
          <w:rFonts w:hint="eastAsia"/>
          <w:color w:val="auto"/>
          <w:highlight w:val="none"/>
          <w:u w:val="none"/>
        </w:rPr>
        <w:t>保护投资者的利益。</w:t>
      </w:r>
    </w:p>
    <w:p>
      <w:pPr>
        <w:pStyle w:val="81"/>
        <w:rPr>
          <w:color w:val="auto"/>
          <w:highlight w:val="none"/>
          <w:u w:val="none"/>
        </w:rPr>
      </w:pPr>
      <w:r>
        <w:rPr>
          <w:color w:val="auto"/>
          <w:szCs w:val="21"/>
          <w:highlight w:val="none"/>
          <w:u w:val="none"/>
        </w:rPr>
        <w:t>(十)</w:t>
      </w:r>
      <w:r>
        <w:rPr>
          <w:rFonts w:hint="eastAsia"/>
          <w:color w:val="auto"/>
          <w:szCs w:val="21"/>
          <w:highlight w:val="none"/>
          <w:u w:val="none"/>
        </w:rPr>
        <w:t>其他</w:t>
      </w:r>
    </w:p>
    <w:p>
      <w:pPr>
        <w:pStyle w:val="81"/>
        <w:rPr>
          <w:color w:val="auto"/>
          <w:highlight w:val="none"/>
          <w:u w:val="none"/>
        </w:rPr>
      </w:pPr>
      <w:r>
        <w:rPr>
          <w:rFonts w:hint="eastAsia"/>
          <w:color w:val="auto"/>
          <w:highlight w:val="none"/>
          <w:u w:val="none"/>
        </w:rPr>
        <w:t>本基金进行投资时，管理人可以以管理人的名义代表本基金与交易对手方签订投资协议，管理人应在各类投资协议中明确是代表本基金投资，且应</w:t>
      </w:r>
      <w:r>
        <w:rPr>
          <w:color w:val="auto"/>
          <w:highlight w:val="none"/>
          <w:u w:val="none"/>
        </w:rPr>
        <w:t>在各类投资协议中明确约定该项投资收益款项的回款账户为本基金托管账户（</w:t>
      </w:r>
      <w:r>
        <w:rPr>
          <w:rFonts w:hint="eastAsia"/>
          <w:color w:val="auto"/>
          <w:highlight w:val="none"/>
          <w:u w:val="none"/>
        </w:rPr>
        <w:t>但</w:t>
      </w:r>
      <w:r>
        <w:rPr>
          <w:color w:val="auto"/>
          <w:highlight w:val="none"/>
          <w:u w:val="none"/>
        </w:rPr>
        <w:t>委托贷款</w:t>
      </w:r>
      <w:r>
        <w:rPr>
          <w:rFonts w:hint="eastAsia"/>
          <w:color w:val="auto"/>
          <w:highlight w:val="none"/>
          <w:u w:val="none"/>
        </w:rPr>
        <w:t>协议</w:t>
      </w:r>
      <w:r>
        <w:rPr>
          <w:color w:val="auto"/>
          <w:highlight w:val="none"/>
          <w:u w:val="none"/>
        </w:rPr>
        <w:t>中明确约定</w:t>
      </w:r>
      <w:r>
        <w:rPr>
          <w:rFonts w:hint="eastAsia"/>
          <w:color w:val="auto"/>
          <w:highlight w:val="none"/>
          <w:u w:val="none"/>
        </w:rPr>
        <w:t>的采取第三方</w:t>
      </w:r>
      <w:r>
        <w:rPr>
          <w:color w:val="auto"/>
          <w:highlight w:val="none"/>
          <w:u w:val="none"/>
        </w:rPr>
        <w:t>监管</w:t>
      </w:r>
      <w:r>
        <w:rPr>
          <w:rFonts w:hint="eastAsia"/>
          <w:color w:val="auto"/>
          <w:highlight w:val="none"/>
          <w:u w:val="none"/>
        </w:rPr>
        <w:t>措施</w:t>
      </w:r>
      <w:r>
        <w:rPr>
          <w:color w:val="auto"/>
          <w:highlight w:val="none"/>
          <w:u w:val="none"/>
        </w:rPr>
        <w:t>的回款账户的除外）</w:t>
      </w:r>
      <w:r>
        <w:rPr>
          <w:rFonts w:hint="eastAsia"/>
          <w:color w:val="auto"/>
          <w:highlight w:val="none"/>
          <w:u w:val="none"/>
        </w:rPr>
        <w:t>；投资协议为格式文本无法修改的，管理人应与各交易相关方（包括但不限于委贷银行、信托公司、标的企业、交易对手方等）拟定补充协议或向其出具说明函，明确原投资协议与本基金的直接关系。管理人未提供符合以上约定的投资协议、补充协议或说明函的，托管人有权拒绝执行划款指令，由此造成的损失由管理人负责。</w:t>
      </w:r>
    </w:p>
    <w:p>
      <w:pPr>
        <w:pStyle w:val="4"/>
        <w:snapToGrid/>
        <w:spacing w:beforeLines="100" w:afterLines="50"/>
        <w:rPr>
          <w:rFonts w:ascii="楷体" w:hAnsi="楷体" w:eastAsia="楷体"/>
          <w:color w:val="auto"/>
          <w:sz w:val="24"/>
          <w:highlight w:val="none"/>
          <w:u w:val="none"/>
        </w:rPr>
      </w:pPr>
      <w:bookmarkStart w:id="24" w:name="_Toc482974532"/>
      <w:r>
        <w:rPr>
          <w:rFonts w:ascii="楷体" w:hAnsi="楷体" w:eastAsia="楷体"/>
          <w:color w:val="auto"/>
          <w:sz w:val="24"/>
          <w:highlight w:val="none"/>
          <w:u w:val="none"/>
        </w:rPr>
        <w:t>第</w:t>
      </w:r>
      <w:r>
        <w:rPr>
          <w:rFonts w:hint="eastAsia" w:ascii="楷体" w:hAnsi="楷体" w:eastAsia="楷体"/>
          <w:color w:val="auto"/>
          <w:sz w:val="24"/>
          <w:highlight w:val="none"/>
          <w:u w:val="none"/>
        </w:rPr>
        <w:t>八</w:t>
      </w:r>
      <w:r>
        <w:rPr>
          <w:rFonts w:ascii="楷体" w:hAnsi="楷体" w:eastAsia="楷体"/>
          <w:color w:val="auto"/>
          <w:sz w:val="24"/>
          <w:highlight w:val="none"/>
          <w:u w:val="none"/>
        </w:rPr>
        <w:t>节基金份额的申购、赎回</w:t>
      </w:r>
      <w:bookmarkEnd w:id="24"/>
    </w:p>
    <w:p>
      <w:pPr>
        <w:pStyle w:val="81"/>
        <w:rPr>
          <w:color w:val="auto"/>
          <w:highlight w:val="none"/>
          <w:u w:val="none"/>
        </w:rPr>
      </w:pPr>
      <w:r>
        <w:rPr>
          <w:color w:val="auto"/>
          <w:szCs w:val="21"/>
          <w:highlight w:val="none"/>
          <w:u w:val="none"/>
        </w:rPr>
        <w:t>(</w:t>
      </w:r>
      <w:r>
        <w:rPr>
          <w:rFonts w:hint="eastAsia"/>
          <w:color w:val="auto"/>
          <w:szCs w:val="21"/>
          <w:highlight w:val="none"/>
          <w:u w:val="none"/>
        </w:rPr>
        <w:t>一</w:t>
      </w:r>
      <w:r>
        <w:rPr>
          <w:color w:val="auto"/>
          <w:szCs w:val="21"/>
          <w:highlight w:val="none"/>
          <w:u w:val="none"/>
        </w:rPr>
        <w:t>)基金份额的</w:t>
      </w:r>
      <w:r>
        <w:rPr>
          <w:rFonts w:hint="eastAsia"/>
          <w:color w:val="auto"/>
          <w:szCs w:val="21"/>
          <w:highlight w:val="none"/>
          <w:u w:val="none"/>
        </w:rPr>
        <w:t>开放日</w:t>
      </w:r>
    </w:p>
    <w:p>
      <w:pPr>
        <w:pStyle w:val="81"/>
        <w:rPr>
          <w:rFonts w:hint="eastAsia"/>
          <w:color w:val="auto"/>
          <w:highlight w:val="none"/>
          <w:u w:val="none"/>
        </w:rPr>
      </w:pPr>
      <w:r>
        <w:rPr>
          <w:rFonts w:hint="eastAsia"/>
          <w:color w:val="auto"/>
          <w:szCs w:val="21"/>
          <w:highlight w:val="none"/>
          <w:u w:val="none"/>
        </w:rPr>
        <w:t>本基金自成立之日起，前</w:t>
      </w:r>
      <w:r>
        <w:rPr>
          <w:color w:val="auto"/>
          <w:szCs w:val="21"/>
          <w:highlight w:val="none"/>
          <w:u w:val="none"/>
        </w:rPr>
        <w:t>6个月不设置固定开放日；自本基金成立之日起6个月届满后，每个自然月20</w:t>
      </w:r>
      <w:r>
        <w:rPr>
          <w:rFonts w:hint="eastAsia"/>
          <w:color w:val="auto"/>
          <w:highlight w:val="none"/>
          <w:u w:val="none"/>
        </w:rPr>
        <w:t>日（如遇节假日顺延到下一个工作日）为固定开放日。固定开放日投资者可以申购参与本基金，也可以申请赎回本基金。</w:t>
      </w:r>
    </w:p>
    <w:p>
      <w:pPr>
        <w:spacing w:line="360" w:lineRule="auto"/>
        <w:ind w:firstLine="420" w:firstLineChars="200"/>
        <w:rPr>
          <w:rFonts w:hint="eastAsia" w:ascii="楷体" w:hAnsi="楷体" w:eastAsia="楷体" w:cs="楷体"/>
          <w:color w:val="auto"/>
          <w:szCs w:val="21"/>
          <w:highlight w:val="none"/>
          <w:u w:val="none"/>
        </w:rPr>
      </w:pPr>
      <w:r>
        <w:rPr>
          <w:rFonts w:hint="eastAsia" w:ascii="楷体" w:hAnsi="楷体" w:eastAsia="楷体" w:cs="楷体"/>
          <w:szCs w:val="21"/>
          <w:lang w:eastAsia="zh-CN"/>
        </w:rPr>
        <w:t>本基金</w:t>
      </w:r>
      <w:r>
        <w:rPr>
          <w:rFonts w:hint="eastAsia" w:ascii="楷体" w:hAnsi="楷体" w:eastAsia="楷体" w:cs="楷体"/>
          <w:szCs w:val="21"/>
        </w:rPr>
        <w:t>份额持有人持有基金份额不满9个月的不得赎回。</w:t>
      </w:r>
      <w:r>
        <w:rPr>
          <w:rFonts w:hint="eastAsia" w:ascii="楷体" w:hAnsi="楷体" w:eastAsia="楷体" w:cs="楷体"/>
          <w:sz w:val="21"/>
          <w:szCs w:val="21"/>
        </w:rPr>
        <w:t>即基金投资者仅可对其持有的已过锁定期</w:t>
      </w:r>
      <w:r>
        <w:rPr>
          <w:rFonts w:hint="eastAsia" w:ascii="楷体" w:hAnsi="楷体" w:eastAsia="楷体" w:cs="楷体"/>
          <w:szCs w:val="21"/>
        </w:rPr>
        <w:t>（9个月）</w:t>
      </w:r>
      <w:r>
        <w:rPr>
          <w:rFonts w:hint="eastAsia" w:ascii="楷体" w:hAnsi="楷体" w:eastAsia="楷体" w:cs="楷体"/>
          <w:sz w:val="21"/>
          <w:szCs w:val="21"/>
        </w:rPr>
        <w:t>的基金份额进行赎回。</w:t>
      </w:r>
    </w:p>
    <w:p>
      <w:pPr>
        <w:pStyle w:val="81"/>
        <w:rPr>
          <w:color w:val="auto"/>
          <w:highlight w:val="none"/>
          <w:u w:val="none"/>
        </w:rPr>
      </w:pPr>
      <w:r>
        <w:rPr>
          <w:rFonts w:hint="eastAsia"/>
          <w:color w:val="auto"/>
          <w:szCs w:val="21"/>
          <w:highlight w:val="none"/>
          <w:u w:val="none"/>
        </w:rPr>
        <w:t>自本基金成立之日起</w:t>
      </w:r>
      <w:r>
        <w:rPr>
          <w:color w:val="auto"/>
          <w:szCs w:val="21"/>
          <w:highlight w:val="none"/>
          <w:u w:val="none"/>
        </w:rPr>
        <w:t>6个月届满后，管理人可根据市场情况设置临时开放日</w:t>
      </w:r>
      <w:r>
        <w:rPr>
          <w:rFonts w:hint="eastAsia"/>
          <w:color w:val="auto"/>
          <w:highlight w:val="none"/>
          <w:u w:val="none"/>
        </w:rPr>
        <w:t>，临时开放日仅允许申购，不允许赎回。</w:t>
      </w:r>
    </w:p>
    <w:p>
      <w:pPr>
        <w:pStyle w:val="81"/>
        <w:rPr>
          <w:color w:val="auto"/>
          <w:highlight w:val="none"/>
          <w:u w:val="none"/>
        </w:rPr>
      </w:pPr>
      <w:r>
        <w:rPr>
          <w:rFonts w:hint="eastAsia"/>
          <w:color w:val="auto"/>
          <w:szCs w:val="21"/>
          <w:highlight w:val="none"/>
          <w:u w:val="none"/>
        </w:rPr>
        <w:t>在本基金存续期内，除开放日外的期间为封闭期，在此期间管理人不接受投资者的申购和赎回申请。</w:t>
      </w:r>
    </w:p>
    <w:p>
      <w:pPr>
        <w:pStyle w:val="81"/>
        <w:rPr>
          <w:color w:val="auto"/>
          <w:highlight w:val="none"/>
          <w:u w:val="none"/>
        </w:rPr>
      </w:pPr>
      <w:r>
        <w:rPr>
          <w:color w:val="auto"/>
          <w:szCs w:val="21"/>
          <w:highlight w:val="none"/>
          <w:u w:val="none"/>
        </w:rPr>
        <w:t>(二)</w:t>
      </w:r>
      <w:r>
        <w:rPr>
          <w:rFonts w:hint="eastAsia"/>
          <w:color w:val="auto"/>
          <w:szCs w:val="21"/>
          <w:highlight w:val="none"/>
          <w:u w:val="none"/>
        </w:rPr>
        <w:t>基金份额的申购</w:t>
      </w:r>
    </w:p>
    <w:p>
      <w:pPr>
        <w:pStyle w:val="81"/>
        <w:rPr>
          <w:color w:val="auto"/>
          <w:highlight w:val="none"/>
          <w:u w:val="none"/>
        </w:rPr>
      </w:pPr>
      <w:r>
        <w:rPr>
          <w:color w:val="auto"/>
          <w:szCs w:val="21"/>
          <w:highlight w:val="none"/>
          <w:u w:val="none"/>
        </w:rPr>
        <w:t>1.</w:t>
      </w:r>
      <w:r>
        <w:rPr>
          <w:rFonts w:hint="eastAsia"/>
          <w:color w:val="auto"/>
          <w:szCs w:val="21"/>
          <w:highlight w:val="none"/>
          <w:u w:val="none"/>
        </w:rPr>
        <w:t>申购资格</w:t>
      </w:r>
    </w:p>
    <w:p>
      <w:pPr>
        <w:pStyle w:val="81"/>
        <w:rPr>
          <w:color w:val="auto"/>
          <w:highlight w:val="none"/>
          <w:u w:val="none"/>
        </w:rPr>
      </w:pPr>
      <w:r>
        <w:rPr>
          <w:rFonts w:hint="eastAsia"/>
          <w:color w:val="auto"/>
          <w:szCs w:val="21"/>
          <w:highlight w:val="none"/>
          <w:u w:val="none"/>
        </w:rPr>
        <w:t>合格投资者可按照本合同约定及募集机构的要求申请申购基金份额。</w:t>
      </w:r>
    </w:p>
    <w:p>
      <w:pPr>
        <w:pStyle w:val="81"/>
        <w:rPr>
          <w:color w:val="auto"/>
          <w:szCs w:val="21"/>
          <w:highlight w:val="none"/>
          <w:u w:val="none"/>
        </w:rPr>
      </w:pPr>
      <w:r>
        <w:rPr>
          <w:color w:val="auto"/>
          <w:szCs w:val="21"/>
          <w:highlight w:val="none"/>
          <w:u w:val="none"/>
        </w:rPr>
        <w:t>2.</w:t>
      </w:r>
      <w:r>
        <w:rPr>
          <w:rFonts w:hint="eastAsia"/>
          <w:color w:val="auto"/>
          <w:szCs w:val="21"/>
          <w:highlight w:val="none"/>
          <w:u w:val="none"/>
        </w:rPr>
        <w:t>申购价格</w:t>
      </w:r>
    </w:p>
    <w:p>
      <w:pPr>
        <w:pStyle w:val="81"/>
        <w:rPr>
          <w:color w:val="auto"/>
          <w:szCs w:val="21"/>
          <w:highlight w:val="none"/>
          <w:u w:val="none"/>
        </w:rPr>
      </w:pPr>
      <w:r>
        <w:rPr>
          <w:rFonts w:hint="eastAsia"/>
          <w:color w:val="auto"/>
          <w:szCs w:val="21"/>
          <w:highlight w:val="none"/>
          <w:u w:val="none"/>
        </w:rPr>
        <w:t>申购基金份额的，每份基金份额申购价格按当期开放日基金份额净值计算。</w:t>
      </w:r>
    </w:p>
    <w:p>
      <w:pPr>
        <w:pStyle w:val="81"/>
        <w:rPr>
          <w:color w:val="auto"/>
          <w:szCs w:val="21"/>
          <w:highlight w:val="none"/>
          <w:u w:val="none"/>
        </w:rPr>
      </w:pPr>
      <w:r>
        <w:rPr>
          <w:color w:val="auto"/>
          <w:szCs w:val="21"/>
          <w:highlight w:val="none"/>
          <w:u w:val="none"/>
        </w:rPr>
        <w:t>3.</w:t>
      </w:r>
      <w:r>
        <w:rPr>
          <w:rFonts w:hint="eastAsia"/>
          <w:color w:val="auto"/>
          <w:szCs w:val="21"/>
          <w:highlight w:val="none"/>
          <w:u w:val="none"/>
        </w:rPr>
        <w:t>金额要求</w:t>
      </w:r>
    </w:p>
    <w:p>
      <w:pPr>
        <w:pStyle w:val="81"/>
        <w:rPr>
          <w:color w:val="auto"/>
          <w:highlight w:val="none"/>
          <w:u w:val="none"/>
        </w:rPr>
      </w:pPr>
      <w:r>
        <w:rPr>
          <w:rFonts w:hint="eastAsia"/>
          <w:color w:val="auto"/>
          <w:szCs w:val="21"/>
          <w:highlight w:val="none"/>
          <w:u w:val="none"/>
        </w:rPr>
        <w:t>合格投资者在私募基金开放日申购基金份额的，首次购买金额应不低于</w:t>
      </w:r>
      <w:r>
        <w:rPr>
          <w:color w:val="auto"/>
          <w:szCs w:val="21"/>
          <w:highlight w:val="none"/>
          <w:u w:val="none"/>
        </w:rPr>
        <w:t>100</w:t>
      </w:r>
      <w:r>
        <w:rPr>
          <w:rFonts w:hint="eastAsia"/>
          <w:color w:val="auto"/>
          <w:szCs w:val="21"/>
          <w:highlight w:val="none"/>
          <w:u w:val="none"/>
        </w:rPr>
        <w:t>万元人民币（不含申购费）（《暂行办法》第十三条规定的合格投资者和已持有本基金份额在开放日再次申购的合格投资者可不受该金额限制），投资者追加申购的应不低于</w:t>
      </w:r>
      <w:r>
        <w:rPr>
          <w:color w:val="auto"/>
          <w:szCs w:val="21"/>
          <w:highlight w:val="none"/>
          <w:u w:val="none"/>
        </w:rPr>
        <w:t>10</w:t>
      </w:r>
      <w:r>
        <w:rPr>
          <w:rFonts w:hint="eastAsia"/>
          <w:color w:val="auto"/>
          <w:szCs w:val="21"/>
          <w:highlight w:val="none"/>
          <w:u w:val="none"/>
        </w:rPr>
        <w:t>万元人民币。</w:t>
      </w:r>
    </w:p>
    <w:p>
      <w:pPr>
        <w:pStyle w:val="81"/>
        <w:rPr>
          <w:color w:val="auto"/>
          <w:highlight w:val="none"/>
          <w:u w:val="none"/>
        </w:rPr>
      </w:pPr>
      <w:r>
        <w:rPr>
          <w:color w:val="auto"/>
          <w:szCs w:val="21"/>
          <w:highlight w:val="none"/>
          <w:u w:val="none"/>
        </w:rPr>
        <w:t>4.</w:t>
      </w:r>
      <w:r>
        <w:rPr>
          <w:rFonts w:hint="eastAsia"/>
          <w:color w:val="auto"/>
          <w:szCs w:val="21"/>
          <w:highlight w:val="none"/>
          <w:u w:val="none"/>
        </w:rPr>
        <w:t>申购费率</w:t>
      </w:r>
    </w:p>
    <w:p>
      <w:pPr>
        <w:pStyle w:val="81"/>
        <w:ind w:firstLine="404"/>
        <w:rPr>
          <w:color w:val="auto"/>
          <w:highlight w:val="none"/>
          <w:u w:val="none"/>
        </w:rPr>
      </w:pPr>
      <w:r>
        <w:rPr>
          <w:rFonts w:hint="eastAsia"/>
          <w:color w:val="auto"/>
          <w:spacing w:val="-4"/>
          <w:szCs w:val="21"/>
          <w:highlight w:val="none"/>
          <w:u w:val="none"/>
        </w:rPr>
        <w:t>申购费率为</w:t>
      </w:r>
      <w:r>
        <w:rPr>
          <w:color w:val="auto"/>
          <w:spacing w:val="-4"/>
          <w:szCs w:val="21"/>
          <w:highlight w:val="none"/>
          <w:u w:val="none"/>
        </w:rPr>
        <w:t>1%，申购费由募集机构收取。募集机构有权对个别投资人的申购费进行减免</w:t>
      </w:r>
      <w:r>
        <w:rPr>
          <w:rFonts w:hint="eastAsia"/>
          <w:color w:val="auto"/>
          <w:szCs w:val="21"/>
          <w:highlight w:val="none"/>
          <w:u w:val="none"/>
        </w:rPr>
        <w:t>。</w:t>
      </w:r>
    </w:p>
    <w:p>
      <w:pPr>
        <w:pStyle w:val="81"/>
        <w:rPr>
          <w:color w:val="auto"/>
          <w:highlight w:val="none"/>
          <w:u w:val="none"/>
        </w:rPr>
      </w:pPr>
      <w:r>
        <w:rPr>
          <w:color w:val="auto"/>
          <w:szCs w:val="21"/>
          <w:highlight w:val="none"/>
          <w:u w:val="none"/>
        </w:rPr>
        <w:t>5.</w:t>
      </w:r>
      <w:r>
        <w:rPr>
          <w:rFonts w:hint="eastAsia"/>
          <w:color w:val="auto"/>
          <w:szCs w:val="21"/>
          <w:highlight w:val="none"/>
          <w:u w:val="none"/>
        </w:rPr>
        <w:t>申购基金份额的计算</w:t>
      </w:r>
    </w:p>
    <w:p>
      <w:pPr>
        <w:pStyle w:val="81"/>
        <w:rPr>
          <w:color w:val="auto"/>
          <w:highlight w:val="none"/>
          <w:u w:val="none"/>
        </w:rPr>
      </w:pPr>
      <w:r>
        <w:rPr>
          <w:rFonts w:hint="eastAsia"/>
          <w:color w:val="auto"/>
          <w:szCs w:val="21"/>
          <w:highlight w:val="none"/>
          <w:u w:val="none"/>
        </w:rPr>
        <w:t>净申购金额＝申购金额</w:t>
      </w:r>
      <w:r>
        <w:rPr>
          <w:color w:val="auto"/>
          <w:szCs w:val="21"/>
          <w:highlight w:val="none"/>
          <w:u w:val="none"/>
        </w:rPr>
        <w:t>/（1+申购费率）</w:t>
      </w:r>
    </w:p>
    <w:p>
      <w:pPr>
        <w:pStyle w:val="81"/>
        <w:rPr>
          <w:color w:val="auto"/>
          <w:highlight w:val="none"/>
          <w:u w:val="none"/>
        </w:rPr>
      </w:pPr>
      <w:r>
        <w:rPr>
          <w:rFonts w:hint="eastAsia"/>
          <w:color w:val="auto"/>
          <w:szCs w:val="21"/>
          <w:highlight w:val="none"/>
          <w:u w:val="none"/>
        </w:rPr>
        <w:t>申购费用＝净申购金额×申购费率</w:t>
      </w:r>
    </w:p>
    <w:p>
      <w:pPr>
        <w:pStyle w:val="81"/>
        <w:rPr>
          <w:color w:val="auto"/>
          <w:highlight w:val="none"/>
          <w:u w:val="none"/>
        </w:rPr>
      </w:pPr>
      <w:r>
        <w:rPr>
          <w:rFonts w:hint="eastAsia"/>
          <w:color w:val="auto"/>
          <w:szCs w:val="21"/>
          <w:highlight w:val="none"/>
          <w:u w:val="none"/>
        </w:rPr>
        <w:t>申购份额＝净申购金额÷申购价格</w:t>
      </w:r>
    </w:p>
    <w:p>
      <w:pPr>
        <w:pStyle w:val="81"/>
        <w:rPr>
          <w:color w:val="auto"/>
          <w:highlight w:val="none"/>
          <w:u w:val="none"/>
        </w:rPr>
      </w:pPr>
      <w:r>
        <w:rPr>
          <w:color w:val="auto"/>
          <w:szCs w:val="21"/>
          <w:highlight w:val="none"/>
          <w:u w:val="none"/>
        </w:rPr>
        <w:t>6.</w:t>
      </w:r>
      <w:r>
        <w:rPr>
          <w:rFonts w:hint="eastAsia"/>
          <w:color w:val="auto"/>
          <w:szCs w:val="21"/>
          <w:highlight w:val="none"/>
          <w:u w:val="none"/>
        </w:rPr>
        <w:t>基金份额的申购方式</w:t>
      </w:r>
    </w:p>
    <w:p>
      <w:pPr>
        <w:pStyle w:val="81"/>
        <w:rPr>
          <w:color w:val="auto"/>
          <w:highlight w:val="none"/>
          <w:u w:val="none"/>
        </w:rPr>
      </w:pPr>
      <w:r>
        <w:rPr>
          <w:rFonts w:hint="eastAsia"/>
          <w:color w:val="auto"/>
          <w:szCs w:val="21"/>
          <w:highlight w:val="none"/>
          <w:u w:val="none"/>
        </w:rPr>
        <w:t>拟申购基金份额的投资者应当于开放日前的第</w:t>
      </w:r>
      <w:r>
        <w:rPr>
          <w:color w:val="auto"/>
          <w:szCs w:val="21"/>
          <w:highlight w:val="none"/>
          <w:u w:val="none"/>
        </w:rPr>
        <w:t>10个工作日至开放日前5个工作日期间（即T-10～T-5</w:t>
      </w:r>
      <w:r>
        <w:rPr>
          <w:rFonts w:hint="eastAsia"/>
          <w:color w:val="auto"/>
          <w:szCs w:val="21"/>
          <w:highlight w:val="none"/>
          <w:u w:val="none"/>
        </w:rPr>
        <w:t>，</w:t>
      </w:r>
      <w:r>
        <w:rPr>
          <w:color w:val="auto"/>
          <w:szCs w:val="21"/>
          <w:highlight w:val="none"/>
          <w:u w:val="none"/>
        </w:rPr>
        <w:t>T为当期开放日），向募集机构提交书面申购申请，并向募集账户</w:t>
      </w:r>
      <w:r>
        <w:rPr>
          <w:rFonts w:hint="eastAsia"/>
          <w:color w:val="auto"/>
          <w:szCs w:val="21"/>
          <w:highlight w:val="none"/>
          <w:u w:val="none"/>
        </w:rPr>
        <w:t>交付申购资金。</w:t>
      </w:r>
    </w:p>
    <w:p>
      <w:pPr>
        <w:pStyle w:val="81"/>
        <w:rPr>
          <w:color w:val="auto"/>
          <w:highlight w:val="none"/>
          <w:u w:val="none"/>
        </w:rPr>
      </w:pPr>
      <w:r>
        <w:rPr>
          <w:color w:val="auto"/>
          <w:szCs w:val="21"/>
          <w:highlight w:val="none"/>
          <w:u w:val="none"/>
        </w:rPr>
        <w:t>7.</w:t>
      </w:r>
      <w:r>
        <w:rPr>
          <w:rFonts w:hint="eastAsia"/>
          <w:color w:val="auto"/>
          <w:szCs w:val="21"/>
          <w:highlight w:val="none"/>
          <w:u w:val="none"/>
        </w:rPr>
        <w:t>申购申请</w:t>
      </w:r>
      <w:r>
        <w:rPr>
          <w:color w:val="auto"/>
          <w:szCs w:val="21"/>
          <w:highlight w:val="none"/>
          <w:u w:val="none"/>
        </w:rPr>
        <w:t>的确认</w:t>
      </w:r>
    </w:p>
    <w:p>
      <w:pPr>
        <w:pStyle w:val="81"/>
        <w:rPr>
          <w:color w:val="auto"/>
          <w:highlight w:val="none"/>
          <w:u w:val="none"/>
        </w:rPr>
      </w:pPr>
      <w:r>
        <w:rPr>
          <w:rFonts w:hint="eastAsia"/>
          <w:color w:val="auto"/>
          <w:szCs w:val="21"/>
          <w:highlight w:val="none"/>
          <w:u w:val="none"/>
        </w:rPr>
        <w:t>管理人于开放日后</w:t>
      </w:r>
      <w:r>
        <w:rPr>
          <w:color w:val="auto"/>
          <w:szCs w:val="21"/>
          <w:highlight w:val="none"/>
          <w:u w:val="none"/>
        </w:rPr>
        <w:t>3个工作日内对于截至T日已</w:t>
      </w:r>
      <w:r>
        <w:rPr>
          <w:rFonts w:hint="eastAsia"/>
          <w:color w:val="auto"/>
          <w:szCs w:val="21"/>
          <w:highlight w:val="none"/>
          <w:u w:val="none"/>
        </w:rPr>
        <w:t>经</w:t>
      </w:r>
      <w:r>
        <w:rPr>
          <w:color w:val="auto"/>
          <w:szCs w:val="21"/>
          <w:highlight w:val="none"/>
          <w:u w:val="none"/>
        </w:rPr>
        <w:t>回访确认</w:t>
      </w:r>
      <w:r>
        <w:rPr>
          <w:rFonts w:hint="eastAsia"/>
          <w:color w:val="auto"/>
          <w:szCs w:val="21"/>
          <w:highlight w:val="none"/>
          <w:u w:val="none"/>
        </w:rPr>
        <w:t>成功</w:t>
      </w:r>
      <w:r>
        <w:rPr>
          <w:color w:val="auto"/>
          <w:szCs w:val="21"/>
          <w:highlight w:val="none"/>
          <w:u w:val="none"/>
        </w:rPr>
        <w:t>的</w:t>
      </w:r>
      <w:r>
        <w:rPr>
          <w:rFonts w:hint="eastAsia"/>
          <w:color w:val="auto"/>
          <w:szCs w:val="21"/>
          <w:highlight w:val="none"/>
          <w:u w:val="none"/>
        </w:rPr>
        <w:t>申购申请进行确认。截至开放日</w:t>
      </w:r>
      <w:r>
        <w:rPr>
          <w:color w:val="auto"/>
          <w:szCs w:val="21"/>
          <w:highlight w:val="none"/>
          <w:u w:val="none"/>
        </w:rPr>
        <w:t>15:00仍未回访确认</w:t>
      </w:r>
      <w:r>
        <w:rPr>
          <w:rFonts w:hint="eastAsia"/>
          <w:color w:val="auto"/>
          <w:szCs w:val="21"/>
          <w:highlight w:val="none"/>
          <w:u w:val="none"/>
        </w:rPr>
        <w:t>成功</w:t>
      </w:r>
      <w:r>
        <w:rPr>
          <w:color w:val="auto"/>
          <w:szCs w:val="21"/>
          <w:highlight w:val="none"/>
          <w:u w:val="none"/>
        </w:rPr>
        <w:t>的</w:t>
      </w:r>
      <w:r>
        <w:rPr>
          <w:rFonts w:hint="eastAsia"/>
          <w:color w:val="auto"/>
          <w:szCs w:val="21"/>
          <w:highlight w:val="none"/>
          <w:u w:val="none"/>
        </w:rPr>
        <w:t>申购</w:t>
      </w:r>
      <w:r>
        <w:rPr>
          <w:color w:val="auto"/>
          <w:szCs w:val="21"/>
          <w:highlight w:val="none"/>
          <w:u w:val="none"/>
        </w:rPr>
        <w:t>申请，</w:t>
      </w:r>
      <w:r>
        <w:rPr>
          <w:rFonts w:hint="eastAsia"/>
          <w:color w:val="auto"/>
          <w:szCs w:val="21"/>
          <w:highlight w:val="none"/>
          <w:u w:val="none"/>
        </w:rPr>
        <w:t>视为</w:t>
      </w:r>
      <w:r>
        <w:rPr>
          <w:color w:val="auto"/>
          <w:szCs w:val="21"/>
          <w:highlight w:val="none"/>
          <w:u w:val="none"/>
        </w:rPr>
        <w:t>申购失败，</w:t>
      </w:r>
      <w:r>
        <w:rPr>
          <w:rFonts w:hint="eastAsia"/>
          <w:color w:val="auto"/>
          <w:szCs w:val="21"/>
          <w:highlight w:val="none"/>
          <w:u w:val="none"/>
        </w:rPr>
        <w:t>募集机构</w:t>
      </w:r>
      <w:r>
        <w:rPr>
          <w:color w:val="auto"/>
          <w:szCs w:val="21"/>
          <w:highlight w:val="none"/>
          <w:u w:val="none"/>
        </w:rPr>
        <w:t>应于</w:t>
      </w:r>
      <w:r>
        <w:rPr>
          <w:rFonts w:hint="eastAsia"/>
          <w:color w:val="auto"/>
          <w:szCs w:val="21"/>
          <w:highlight w:val="none"/>
          <w:u w:val="none"/>
        </w:rPr>
        <w:t>开放日</w:t>
      </w:r>
      <w:r>
        <w:rPr>
          <w:color w:val="auto"/>
          <w:szCs w:val="21"/>
          <w:highlight w:val="none"/>
          <w:u w:val="none"/>
        </w:rPr>
        <w:t>后5个工作日内将</w:t>
      </w:r>
      <w:r>
        <w:rPr>
          <w:rFonts w:hint="eastAsia"/>
          <w:color w:val="auto"/>
          <w:szCs w:val="21"/>
          <w:highlight w:val="none"/>
          <w:u w:val="none"/>
        </w:rPr>
        <w:t>该投资者的全部申购款项退还投资者。</w:t>
      </w:r>
    </w:p>
    <w:p>
      <w:pPr>
        <w:pStyle w:val="81"/>
        <w:rPr>
          <w:color w:val="auto"/>
          <w:szCs w:val="21"/>
          <w:highlight w:val="none"/>
          <w:u w:val="none"/>
        </w:rPr>
      </w:pPr>
      <w:r>
        <w:rPr>
          <w:color w:val="auto"/>
          <w:szCs w:val="21"/>
          <w:highlight w:val="none"/>
          <w:u w:val="none"/>
        </w:rPr>
        <w:t>(三)赎回</w:t>
      </w:r>
    </w:p>
    <w:p>
      <w:pPr>
        <w:pStyle w:val="81"/>
        <w:rPr>
          <w:color w:val="auto"/>
          <w:szCs w:val="21"/>
          <w:highlight w:val="none"/>
          <w:u w:val="none"/>
        </w:rPr>
      </w:pPr>
      <w:r>
        <w:rPr>
          <w:rFonts w:hint="eastAsia"/>
          <w:color w:val="auto"/>
          <w:szCs w:val="21"/>
          <w:highlight w:val="none"/>
          <w:u w:val="none"/>
        </w:rPr>
        <w:t>投资者可根据本合同约定及募集机构的要求申请赎回基金份额。</w:t>
      </w:r>
    </w:p>
    <w:p>
      <w:pPr>
        <w:pStyle w:val="81"/>
        <w:rPr>
          <w:color w:val="auto"/>
          <w:szCs w:val="21"/>
          <w:highlight w:val="none"/>
          <w:u w:val="none"/>
        </w:rPr>
      </w:pPr>
      <w:r>
        <w:rPr>
          <w:color w:val="auto"/>
          <w:szCs w:val="21"/>
          <w:highlight w:val="none"/>
          <w:u w:val="none"/>
        </w:rPr>
        <w:t>1.</w:t>
      </w:r>
      <w:r>
        <w:rPr>
          <w:rFonts w:hint="eastAsia"/>
          <w:color w:val="auto"/>
          <w:szCs w:val="21"/>
          <w:highlight w:val="none"/>
          <w:u w:val="none"/>
        </w:rPr>
        <w:t>赎回价格</w:t>
      </w:r>
    </w:p>
    <w:p>
      <w:pPr>
        <w:pStyle w:val="81"/>
        <w:rPr>
          <w:color w:val="auto"/>
          <w:szCs w:val="21"/>
          <w:highlight w:val="none"/>
          <w:u w:val="none"/>
        </w:rPr>
      </w:pPr>
      <w:r>
        <w:rPr>
          <w:rFonts w:hint="eastAsia"/>
          <w:color w:val="auto"/>
          <w:szCs w:val="21"/>
          <w:highlight w:val="none"/>
          <w:u w:val="none"/>
        </w:rPr>
        <w:t>赎回价格以当期开放日基金份额净值计算。</w:t>
      </w:r>
    </w:p>
    <w:p>
      <w:pPr>
        <w:pStyle w:val="81"/>
        <w:rPr>
          <w:color w:val="auto"/>
          <w:szCs w:val="21"/>
          <w:highlight w:val="none"/>
          <w:u w:val="none"/>
        </w:rPr>
      </w:pPr>
      <w:r>
        <w:rPr>
          <w:color w:val="auto"/>
          <w:szCs w:val="21"/>
          <w:highlight w:val="none"/>
          <w:u w:val="none"/>
        </w:rPr>
        <w:t>2.</w:t>
      </w:r>
      <w:r>
        <w:rPr>
          <w:rFonts w:hint="eastAsia"/>
          <w:color w:val="auto"/>
          <w:szCs w:val="21"/>
          <w:highlight w:val="none"/>
          <w:u w:val="none"/>
        </w:rPr>
        <w:t>赎回时间</w:t>
      </w:r>
    </w:p>
    <w:p>
      <w:pPr>
        <w:pStyle w:val="81"/>
        <w:rPr>
          <w:color w:val="auto"/>
          <w:highlight w:val="none"/>
          <w:u w:val="none"/>
        </w:rPr>
      </w:pPr>
      <w:r>
        <w:rPr>
          <w:rFonts w:hint="eastAsia"/>
          <w:color w:val="auto"/>
          <w:szCs w:val="21"/>
          <w:highlight w:val="none"/>
          <w:u w:val="none"/>
        </w:rPr>
        <w:t>拟在当期开放日赎回基金份额的投资者应于当期开放日前的第</w:t>
      </w:r>
      <w:r>
        <w:rPr>
          <w:color w:val="auto"/>
          <w:szCs w:val="21"/>
          <w:highlight w:val="none"/>
          <w:u w:val="none"/>
        </w:rPr>
        <w:t>10个工作日至第1个工作日（即T-10～T-1，T为当期开放日）向募集机构提交书面赎回申请，管理人于开放日当日正式受理赎回申请。</w:t>
      </w:r>
    </w:p>
    <w:p>
      <w:pPr>
        <w:pStyle w:val="81"/>
        <w:rPr>
          <w:color w:val="auto"/>
          <w:highlight w:val="none"/>
          <w:u w:val="none"/>
        </w:rPr>
      </w:pPr>
      <w:r>
        <w:rPr>
          <w:color w:val="auto"/>
          <w:szCs w:val="21"/>
          <w:highlight w:val="none"/>
          <w:u w:val="none"/>
        </w:rPr>
        <w:t>3.</w:t>
      </w:r>
      <w:r>
        <w:rPr>
          <w:rFonts w:hint="eastAsia"/>
          <w:color w:val="auto"/>
          <w:szCs w:val="21"/>
          <w:highlight w:val="none"/>
          <w:u w:val="none"/>
        </w:rPr>
        <w:t>赎回限制</w:t>
      </w:r>
    </w:p>
    <w:p>
      <w:pPr>
        <w:pStyle w:val="81"/>
        <w:rPr>
          <w:color w:val="auto"/>
          <w:highlight w:val="none"/>
          <w:u w:val="none"/>
        </w:rPr>
      </w:pPr>
      <w:r>
        <w:rPr>
          <w:rFonts w:hint="eastAsia"/>
          <w:color w:val="auto"/>
          <w:szCs w:val="21"/>
          <w:highlight w:val="none"/>
          <w:u w:val="none"/>
        </w:rPr>
        <w:t>（</w:t>
      </w:r>
      <w:r>
        <w:rPr>
          <w:color w:val="auto"/>
          <w:szCs w:val="21"/>
          <w:highlight w:val="none"/>
          <w:u w:val="none"/>
        </w:rPr>
        <w:t>1）</w:t>
      </w:r>
      <w:r>
        <w:rPr>
          <w:rFonts w:hint="eastAsia"/>
          <w:color w:val="auto"/>
          <w:szCs w:val="21"/>
          <w:highlight w:val="none"/>
          <w:u w:val="none"/>
        </w:rPr>
        <w:t>投资者在当期开放日持有的基金资产净值不得低于</w:t>
      </w:r>
      <w:r>
        <w:rPr>
          <w:color w:val="auto"/>
          <w:szCs w:val="21"/>
          <w:highlight w:val="none"/>
          <w:u w:val="none"/>
        </w:rPr>
        <w:t>100万元</w:t>
      </w:r>
      <w:r>
        <w:rPr>
          <w:rFonts w:hint="eastAsia"/>
          <w:color w:val="auto"/>
          <w:szCs w:val="21"/>
          <w:highlight w:val="none"/>
          <w:u w:val="none"/>
        </w:rPr>
        <w:t>，在当期</w:t>
      </w:r>
      <w:r>
        <w:rPr>
          <w:color w:val="auto"/>
          <w:szCs w:val="21"/>
          <w:highlight w:val="none"/>
          <w:u w:val="none"/>
        </w:rPr>
        <w:t>开放日</w:t>
      </w:r>
      <w:r>
        <w:rPr>
          <w:rFonts w:hint="eastAsia"/>
          <w:color w:val="auto"/>
          <w:szCs w:val="21"/>
          <w:highlight w:val="none"/>
          <w:u w:val="none"/>
        </w:rPr>
        <w:t>收盘时，投资时持有的基金资产净值低于</w:t>
      </w:r>
      <w:r>
        <w:rPr>
          <w:color w:val="auto"/>
          <w:szCs w:val="21"/>
          <w:highlight w:val="none"/>
          <w:u w:val="none"/>
        </w:rPr>
        <w:t>100万元的，必须选择一次性赎回全部基金份额</w:t>
      </w:r>
      <w:r>
        <w:rPr>
          <w:rFonts w:hint="eastAsia"/>
          <w:color w:val="auto"/>
          <w:szCs w:val="21"/>
          <w:highlight w:val="none"/>
          <w:u w:val="none"/>
        </w:rPr>
        <w:t>，投资者未</w:t>
      </w:r>
      <w:r>
        <w:rPr>
          <w:color w:val="auto"/>
          <w:szCs w:val="21"/>
          <w:highlight w:val="none"/>
          <w:u w:val="none"/>
        </w:rPr>
        <w:t>申请</w:t>
      </w:r>
      <w:r>
        <w:rPr>
          <w:rFonts w:hint="eastAsia"/>
          <w:color w:val="auto"/>
          <w:szCs w:val="21"/>
          <w:highlight w:val="none"/>
          <w:u w:val="none"/>
        </w:rPr>
        <w:t>一次性全部赎回持有份额的，</w:t>
      </w:r>
      <w:r>
        <w:rPr>
          <w:color w:val="auto"/>
          <w:szCs w:val="21"/>
          <w:highlight w:val="none"/>
          <w:u w:val="none"/>
        </w:rPr>
        <w:t>管理人</w:t>
      </w:r>
      <w:r>
        <w:rPr>
          <w:rFonts w:hint="eastAsia"/>
          <w:color w:val="auto"/>
          <w:szCs w:val="21"/>
          <w:highlight w:val="none"/>
          <w:u w:val="none"/>
        </w:rPr>
        <w:t>应</w:t>
      </w:r>
      <w:r>
        <w:rPr>
          <w:color w:val="auto"/>
          <w:szCs w:val="21"/>
          <w:highlight w:val="none"/>
          <w:u w:val="none"/>
        </w:rPr>
        <w:t>将该基金份额持有人</w:t>
      </w:r>
      <w:r>
        <w:rPr>
          <w:rFonts w:hint="eastAsia"/>
          <w:color w:val="auto"/>
          <w:szCs w:val="21"/>
          <w:highlight w:val="none"/>
          <w:u w:val="none"/>
        </w:rPr>
        <w:t>所持全部</w:t>
      </w:r>
      <w:r>
        <w:rPr>
          <w:color w:val="auto"/>
          <w:szCs w:val="21"/>
          <w:highlight w:val="none"/>
          <w:u w:val="none"/>
        </w:rPr>
        <w:t>份额做强制赎回处理。</w:t>
      </w:r>
    </w:p>
    <w:p>
      <w:pPr>
        <w:pStyle w:val="81"/>
        <w:rPr>
          <w:color w:val="auto"/>
          <w:highlight w:val="none"/>
          <w:u w:val="none"/>
        </w:rPr>
      </w:pPr>
      <w:r>
        <w:rPr>
          <w:rFonts w:hint="eastAsia"/>
          <w:color w:val="auto"/>
          <w:szCs w:val="21"/>
          <w:highlight w:val="none"/>
          <w:u w:val="none"/>
        </w:rPr>
        <w:t>（</w:t>
      </w:r>
      <w:r>
        <w:rPr>
          <w:color w:val="auto"/>
          <w:szCs w:val="21"/>
          <w:highlight w:val="none"/>
          <w:u w:val="none"/>
        </w:rPr>
        <w:t>2）</w:t>
      </w:r>
      <w:r>
        <w:rPr>
          <w:rFonts w:hint="eastAsia"/>
          <w:color w:val="auto"/>
          <w:szCs w:val="21"/>
          <w:highlight w:val="none"/>
          <w:u w:val="none"/>
        </w:rPr>
        <w:t>基金份额持有人赎回基金时，管理人按先进先出的原则，按投资者认购、申购基金份额的先后次序进行顺序赎回。</w:t>
      </w:r>
    </w:p>
    <w:p>
      <w:pPr>
        <w:pStyle w:val="81"/>
        <w:rPr>
          <w:color w:val="auto"/>
          <w:highlight w:val="none"/>
          <w:u w:val="none"/>
        </w:rPr>
      </w:pPr>
      <w:r>
        <w:rPr>
          <w:color w:val="auto"/>
          <w:szCs w:val="21"/>
          <w:highlight w:val="none"/>
          <w:u w:val="none"/>
        </w:rPr>
        <w:t>4.</w:t>
      </w:r>
      <w:r>
        <w:rPr>
          <w:rFonts w:hint="eastAsia"/>
          <w:color w:val="auto"/>
          <w:szCs w:val="21"/>
          <w:highlight w:val="none"/>
          <w:u w:val="none"/>
        </w:rPr>
        <w:t>赎回费率</w:t>
      </w:r>
    </w:p>
    <w:p>
      <w:pPr>
        <w:pStyle w:val="81"/>
        <w:rPr>
          <w:color w:val="auto"/>
          <w:highlight w:val="none"/>
          <w:u w:val="none"/>
        </w:rPr>
      </w:pPr>
      <w:r>
        <w:rPr>
          <w:rFonts w:hint="eastAsia"/>
          <w:smallCaps/>
          <w:color w:val="auto"/>
          <w:szCs w:val="21"/>
          <w:highlight w:val="none"/>
          <w:u w:val="none"/>
        </w:rPr>
        <w:t>本基金不收取赎回费。</w:t>
      </w:r>
    </w:p>
    <w:p>
      <w:pPr>
        <w:pStyle w:val="81"/>
        <w:rPr>
          <w:color w:val="auto"/>
          <w:highlight w:val="none"/>
          <w:u w:val="none"/>
        </w:rPr>
      </w:pPr>
      <w:r>
        <w:rPr>
          <w:color w:val="auto"/>
          <w:szCs w:val="21"/>
          <w:highlight w:val="none"/>
          <w:u w:val="none"/>
        </w:rPr>
        <w:t>5.</w:t>
      </w:r>
      <w:r>
        <w:rPr>
          <w:rFonts w:hint="eastAsia"/>
          <w:color w:val="auto"/>
          <w:szCs w:val="21"/>
          <w:highlight w:val="none"/>
          <w:u w:val="none"/>
        </w:rPr>
        <w:t>赎回金额的计算公式</w:t>
      </w:r>
    </w:p>
    <w:p>
      <w:pPr>
        <w:pStyle w:val="81"/>
        <w:rPr>
          <w:color w:val="auto"/>
          <w:highlight w:val="none"/>
          <w:u w:val="none"/>
        </w:rPr>
      </w:pPr>
      <w:r>
        <w:rPr>
          <w:color w:val="auto"/>
          <w:szCs w:val="21"/>
          <w:highlight w:val="none"/>
          <w:u w:val="none"/>
        </w:rPr>
        <w:t>赎回金额=赎回份数×</w:t>
      </w:r>
      <w:r>
        <w:rPr>
          <w:rFonts w:hint="eastAsia"/>
          <w:color w:val="auto"/>
          <w:szCs w:val="21"/>
          <w:highlight w:val="none"/>
          <w:u w:val="none"/>
        </w:rPr>
        <w:t>赎回价格</w:t>
      </w:r>
      <w:r>
        <w:rPr>
          <w:color w:val="auto"/>
          <w:szCs w:val="21"/>
          <w:highlight w:val="none"/>
          <w:u w:val="none"/>
        </w:rPr>
        <w:t>-应支付业绩报酬（如有）</w:t>
      </w:r>
    </w:p>
    <w:p>
      <w:pPr>
        <w:pStyle w:val="81"/>
        <w:rPr>
          <w:color w:val="auto"/>
          <w:highlight w:val="none"/>
          <w:u w:val="none"/>
        </w:rPr>
      </w:pPr>
      <w:r>
        <w:rPr>
          <w:color w:val="auto"/>
          <w:szCs w:val="21"/>
          <w:highlight w:val="none"/>
          <w:u w:val="none"/>
        </w:rPr>
        <w:t>在投资者赎回</w:t>
      </w:r>
      <w:r>
        <w:rPr>
          <w:rFonts w:hint="eastAsia"/>
          <w:color w:val="auto"/>
          <w:szCs w:val="21"/>
          <w:highlight w:val="none"/>
          <w:u w:val="none"/>
        </w:rPr>
        <w:t>基金</w:t>
      </w:r>
      <w:r>
        <w:rPr>
          <w:color w:val="auto"/>
          <w:szCs w:val="21"/>
          <w:highlight w:val="none"/>
          <w:u w:val="none"/>
        </w:rPr>
        <w:t>份额时，根据该公式计算的赎回金额保留到小数点后两位。</w:t>
      </w:r>
    </w:p>
    <w:p>
      <w:pPr>
        <w:pStyle w:val="81"/>
        <w:rPr>
          <w:color w:val="auto"/>
          <w:highlight w:val="none"/>
          <w:u w:val="none"/>
        </w:rPr>
      </w:pPr>
      <w:r>
        <w:rPr>
          <w:color w:val="auto"/>
          <w:szCs w:val="21"/>
          <w:highlight w:val="none"/>
          <w:u w:val="none"/>
        </w:rPr>
        <w:t>6.</w:t>
      </w:r>
      <w:r>
        <w:rPr>
          <w:rFonts w:hint="eastAsia"/>
          <w:color w:val="auto"/>
          <w:szCs w:val="21"/>
          <w:highlight w:val="none"/>
          <w:u w:val="none"/>
        </w:rPr>
        <w:t>赎回款项的支付</w:t>
      </w:r>
    </w:p>
    <w:p>
      <w:pPr>
        <w:pStyle w:val="81"/>
        <w:rPr>
          <w:color w:val="auto"/>
          <w:highlight w:val="none"/>
          <w:u w:val="none"/>
        </w:rPr>
      </w:pPr>
      <w:r>
        <w:rPr>
          <w:rFonts w:hint="eastAsia"/>
          <w:color w:val="auto"/>
          <w:szCs w:val="21"/>
          <w:highlight w:val="none"/>
          <w:u w:val="none"/>
        </w:rPr>
        <w:t>（</w:t>
      </w:r>
      <w:r>
        <w:rPr>
          <w:color w:val="auto"/>
          <w:szCs w:val="21"/>
          <w:highlight w:val="none"/>
          <w:u w:val="none"/>
        </w:rPr>
        <w:t>1）</w:t>
      </w:r>
      <w:r>
        <w:rPr>
          <w:rFonts w:hint="eastAsia"/>
          <w:color w:val="auto"/>
          <w:szCs w:val="21"/>
          <w:highlight w:val="none"/>
          <w:u w:val="none"/>
        </w:rPr>
        <w:t>投资者赎回申请经管理人确认后，管理人应在当期开放日后十个工作日内将赎回款划入投资者指定的账户。</w:t>
      </w:r>
    </w:p>
    <w:p>
      <w:pPr>
        <w:pStyle w:val="81"/>
        <w:rPr>
          <w:color w:val="auto"/>
          <w:highlight w:val="none"/>
          <w:u w:val="none"/>
        </w:rPr>
      </w:pPr>
      <w:r>
        <w:rPr>
          <w:rFonts w:hint="eastAsia"/>
          <w:color w:val="auto"/>
          <w:szCs w:val="21"/>
          <w:highlight w:val="none"/>
          <w:u w:val="none"/>
        </w:rPr>
        <w:t>（</w:t>
      </w:r>
      <w:r>
        <w:rPr>
          <w:color w:val="auto"/>
          <w:szCs w:val="21"/>
          <w:highlight w:val="none"/>
          <w:u w:val="none"/>
        </w:rPr>
        <w:t>2）</w:t>
      </w:r>
      <w:r>
        <w:rPr>
          <w:rFonts w:hint="eastAsia"/>
          <w:color w:val="auto"/>
          <w:szCs w:val="21"/>
          <w:highlight w:val="none"/>
          <w:u w:val="none"/>
        </w:rPr>
        <w:t>在赎回款项划付完成当日，即视为就已赎回的基金份额已经完成清算分配；若投资者对赎回款有异议，应在赎回款到账后三个工作日内向管理人提出书面意见，否则视为投资者完全认同赎回款的计算及分配。在赎回款划付完成当日，视为该投资者就该部分赎回份额已与管理人、托管人解除合同关系，三方之间的就该部分赎回份额相关权利与义务自行终止。投资者同意，管理人、托管人无需就当期赎回事项另行出具清算报告或其他信息披露文件等。</w:t>
      </w:r>
    </w:p>
    <w:p>
      <w:pPr>
        <w:pStyle w:val="81"/>
        <w:rPr>
          <w:color w:val="auto"/>
          <w:szCs w:val="21"/>
          <w:highlight w:val="none"/>
          <w:u w:val="none"/>
        </w:rPr>
      </w:pPr>
      <w:r>
        <w:rPr>
          <w:color w:val="auto"/>
          <w:szCs w:val="21"/>
          <w:highlight w:val="none"/>
          <w:u w:val="none"/>
        </w:rPr>
        <w:t>(四)</w:t>
      </w:r>
      <w:r>
        <w:rPr>
          <w:rFonts w:hint="eastAsia"/>
          <w:color w:val="auto"/>
          <w:szCs w:val="21"/>
          <w:highlight w:val="none"/>
          <w:u w:val="none"/>
        </w:rPr>
        <w:t>拒绝或暂停申购、暂停赎回的情形及处理</w:t>
      </w:r>
    </w:p>
    <w:p>
      <w:pPr>
        <w:pStyle w:val="81"/>
        <w:rPr>
          <w:color w:val="auto"/>
          <w:szCs w:val="21"/>
          <w:highlight w:val="none"/>
          <w:u w:val="none"/>
        </w:rPr>
      </w:pPr>
      <w:r>
        <w:rPr>
          <w:color w:val="auto"/>
          <w:szCs w:val="21"/>
          <w:highlight w:val="none"/>
          <w:u w:val="none"/>
        </w:rPr>
        <w:t>1.</w:t>
      </w:r>
      <w:r>
        <w:rPr>
          <w:rFonts w:hint="eastAsia"/>
          <w:color w:val="auto"/>
          <w:szCs w:val="21"/>
          <w:highlight w:val="none"/>
          <w:u w:val="none"/>
        </w:rPr>
        <w:t>在如下情形下，管理人可以拒绝接受投资者的申购申请：</w:t>
      </w:r>
    </w:p>
    <w:p>
      <w:pPr>
        <w:pStyle w:val="81"/>
        <w:rPr>
          <w:color w:val="auto"/>
          <w:szCs w:val="21"/>
          <w:highlight w:val="none"/>
          <w:u w:val="none"/>
        </w:rPr>
      </w:pPr>
      <w:r>
        <w:rPr>
          <w:rFonts w:hint="eastAsia"/>
          <w:color w:val="auto"/>
          <w:szCs w:val="21"/>
          <w:highlight w:val="none"/>
          <w:u w:val="none"/>
        </w:rPr>
        <w:t>（</w:t>
      </w:r>
      <w:r>
        <w:rPr>
          <w:color w:val="auto"/>
          <w:szCs w:val="21"/>
          <w:highlight w:val="none"/>
          <w:u w:val="none"/>
        </w:rPr>
        <w:t>1）根据市场情况，管理人无法找到合适的投资品种，或</w:t>
      </w:r>
      <w:r>
        <w:rPr>
          <w:rFonts w:hint="eastAsia"/>
          <w:color w:val="auto"/>
          <w:szCs w:val="21"/>
          <w:highlight w:val="none"/>
          <w:u w:val="none"/>
        </w:rPr>
        <w:t>存在</w:t>
      </w:r>
      <w:r>
        <w:rPr>
          <w:color w:val="auto"/>
          <w:szCs w:val="21"/>
          <w:highlight w:val="none"/>
          <w:u w:val="none"/>
        </w:rPr>
        <w:t>其他</w:t>
      </w:r>
      <w:r>
        <w:rPr>
          <w:rFonts w:hint="eastAsia"/>
          <w:color w:val="auto"/>
          <w:szCs w:val="21"/>
          <w:highlight w:val="none"/>
          <w:u w:val="none"/>
        </w:rPr>
        <w:t>如接受申购申请</w:t>
      </w:r>
      <w:r>
        <w:rPr>
          <w:color w:val="auto"/>
          <w:szCs w:val="21"/>
          <w:highlight w:val="none"/>
          <w:u w:val="none"/>
        </w:rPr>
        <w:t>可能对基金业绩产生负面影响的</w:t>
      </w:r>
      <w:r>
        <w:rPr>
          <w:rFonts w:hint="eastAsia"/>
          <w:color w:val="auto"/>
          <w:szCs w:val="21"/>
          <w:highlight w:val="none"/>
          <w:u w:val="none"/>
        </w:rPr>
        <w:t>其他</w:t>
      </w:r>
      <w:r>
        <w:rPr>
          <w:color w:val="auto"/>
          <w:szCs w:val="21"/>
          <w:highlight w:val="none"/>
          <w:u w:val="none"/>
        </w:rPr>
        <w:t>情形；</w:t>
      </w:r>
    </w:p>
    <w:p>
      <w:pPr>
        <w:pStyle w:val="81"/>
        <w:rPr>
          <w:color w:val="auto"/>
          <w:highlight w:val="none"/>
          <w:u w:val="none"/>
        </w:rPr>
      </w:pPr>
      <w:r>
        <w:rPr>
          <w:rFonts w:hint="eastAsia"/>
          <w:color w:val="auto"/>
          <w:szCs w:val="21"/>
          <w:highlight w:val="none"/>
          <w:u w:val="none"/>
        </w:rPr>
        <w:t>（</w:t>
      </w:r>
      <w:r>
        <w:rPr>
          <w:color w:val="auto"/>
          <w:szCs w:val="21"/>
          <w:highlight w:val="none"/>
          <w:u w:val="none"/>
        </w:rPr>
        <w:t>2）因基金持有的某个或某些证券进行权益分派等原因，使管理人认为短期内接受申购可能会影响或损害现有基金份额持有人利益的情形；</w:t>
      </w:r>
    </w:p>
    <w:p>
      <w:pPr>
        <w:pStyle w:val="81"/>
        <w:rPr>
          <w:color w:val="auto"/>
          <w:highlight w:val="none"/>
          <w:u w:val="none"/>
        </w:rPr>
      </w:pPr>
      <w:r>
        <w:rPr>
          <w:rFonts w:hint="eastAsia"/>
          <w:color w:val="auto"/>
          <w:szCs w:val="21"/>
          <w:highlight w:val="none"/>
          <w:u w:val="none"/>
        </w:rPr>
        <w:t>（</w:t>
      </w:r>
      <w:r>
        <w:rPr>
          <w:color w:val="auto"/>
          <w:szCs w:val="21"/>
          <w:highlight w:val="none"/>
          <w:u w:val="none"/>
        </w:rPr>
        <w:t>3）管理人认为接受某笔或某些申购申请可能会影响或损害其他基金份额持有人利益的</w:t>
      </w:r>
      <w:r>
        <w:rPr>
          <w:rFonts w:hint="eastAsia"/>
          <w:color w:val="auto"/>
          <w:szCs w:val="21"/>
          <w:highlight w:val="none"/>
          <w:u w:val="none"/>
        </w:rPr>
        <w:t>其他</w:t>
      </w:r>
      <w:r>
        <w:rPr>
          <w:color w:val="auto"/>
          <w:szCs w:val="21"/>
          <w:highlight w:val="none"/>
          <w:u w:val="none"/>
        </w:rPr>
        <w:t>情形；</w:t>
      </w:r>
    </w:p>
    <w:p>
      <w:pPr>
        <w:pStyle w:val="81"/>
        <w:rPr>
          <w:color w:val="auto"/>
          <w:highlight w:val="none"/>
          <w:u w:val="none"/>
        </w:rPr>
      </w:pPr>
      <w:r>
        <w:rPr>
          <w:rFonts w:hint="eastAsia"/>
          <w:color w:val="auto"/>
          <w:szCs w:val="21"/>
          <w:highlight w:val="none"/>
          <w:u w:val="none"/>
        </w:rPr>
        <w:t>（</w:t>
      </w:r>
      <w:r>
        <w:rPr>
          <w:color w:val="auto"/>
          <w:szCs w:val="21"/>
          <w:highlight w:val="none"/>
          <w:u w:val="none"/>
        </w:rPr>
        <w:t>4）法律法规规定</w:t>
      </w:r>
      <w:r>
        <w:rPr>
          <w:rFonts w:hint="eastAsia"/>
          <w:color w:val="auto"/>
          <w:szCs w:val="21"/>
          <w:highlight w:val="none"/>
          <w:u w:val="none"/>
        </w:rPr>
        <w:t>、</w:t>
      </w:r>
      <w:r>
        <w:rPr>
          <w:color w:val="auto"/>
          <w:szCs w:val="21"/>
          <w:highlight w:val="none"/>
          <w:u w:val="none"/>
        </w:rPr>
        <w:t>经</w:t>
      </w:r>
      <w:r>
        <w:rPr>
          <w:rFonts w:hint="eastAsia"/>
          <w:color w:val="auto"/>
          <w:szCs w:val="21"/>
          <w:highlight w:val="none"/>
          <w:u w:val="none"/>
        </w:rPr>
        <w:t>监管部门</w:t>
      </w:r>
      <w:r>
        <w:rPr>
          <w:color w:val="auto"/>
          <w:szCs w:val="21"/>
          <w:highlight w:val="none"/>
          <w:u w:val="none"/>
        </w:rPr>
        <w:t>认定的</w:t>
      </w:r>
      <w:r>
        <w:rPr>
          <w:rFonts w:hint="eastAsia"/>
          <w:color w:val="auto"/>
          <w:szCs w:val="21"/>
          <w:highlight w:val="none"/>
          <w:u w:val="none"/>
        </w:rPr>
        <w:t>或本合同约定的管理人可拒绝接受申购的</w:t>
      </w:r>
      <w:r>
        <w:rPr>
          <w:color w:val="auto"/>
          <w:szCs w:val="21"/>
          <w:highlight w:val="none"/>
          <w:u w:val="none"/>
        </w:rPr>
        <w:t>其他情形。</w:t>
      </w:r>
    </w:p>
    <w:p>
      <w:pPr>
        <w:pStyle w:val="81"/>
        <w:rPr>
          <w:color w:val="auto"/>
          <w:highlight w:val="none"/>
          <w:u w:val="none"/>
        </w:rPr>
      </w:pPr>
      <w:r>
        <w:rPr>
          <w:rFonts w:hint="eastAsia"/>
          <w:color w:val="auto"/>
          <w:szCs w:val="21"/>
          <w:highlight w:val="none"/>
          <w:u w:val="none"/>
        </w:rPr>
        <w:t>管理人决定拒绝接受某些投资者的申购申请时，申购款项将退回投资者账户。</w:t>
      </w:r>
    </w:p>
    <w:p>
      <w:pPr>
        <w:pStyle w:val="81"/>
        <w:rPr>
          <w:color w:val="auto"/>
          <w:highlight w:val="none"/>
          <w:u w:val="none"/>
        </w:rPr>
      </w:pPr>
      <w:r>
        <w:rPr>
          <w:color w:val="auto"/>
          <w:szCs w:val="21"/>
          <w:highlight w:val="none"/>
          <w:u w:val="none"/>
        </w:rPr>
        <w:t>2.</w:t>
      </w:r>
      <w:r>
        <w:rPr>
          <w:rFonts w:hint="eastAsia"/>
          <w:color w:val="auto"/>
          <w:szCs w:val="21"/>
          <w:highlight w:val="none"/>
          <w:u w:val="none"/>
        </w:rPr>
        <w:t>在如下情形下，管理人可以暂停接受投资者的申购申请：</w:t>
      </w:r>
    </w:p>
    <w:p>
      <w:pPr>
        <w:pStyle w:val="81"/>
        <w:rPr>
          <w:color w:val="auto"/>
          <w:highlight w:val="none"/>
          <w:u w:val="none"/>
        </w:rPr>
      </w:pPr>
      <w:r>
        <w:rPr>
          <w:rFonts w:hint="eastAsia"/>
          <w:color w:val="auto"/>
          <w:szCs w:val="21"/>
          <w:highlight w:val="none"/>
          <w:u w:val="none"/>
        </w:rPr>
        <w:t>（</w:t>
      </w:r>
      <w:r>
        <w:rPr>
          <w:color w:val="auto"/>
          <w:szCs w:val="21"/>
          <w:highlight w:val="none"/>
          <w:u w:val="none"/>
        </w:rPr>
        <w:t>1）</w:t>
      </w:r>
      <w:r>
        <w:rPr>
          <w:rFonts w:hint="eastAsia"/>
          <w:color w:val="auto"/>
          <w:szCs w:val="21"/>
          <w:highlight w:val="none"/>
          <w:u w:val="none"/>
        </w:rPr>
        <w:t>因不可抗力导致无法受理投资者的申购申请的情形；</w:t>
      </w:r>
    </w:p>
    <w:p>
      <w:pPr>
        <w:pStyle w:val="81"/>
        <w:rPr>
          <w:color w:val="auto"/>
          <w:highlight w:val="none"/>
          <w:u w:val="none"/>
        </w:rPr>
      </w:pPr>
      <w:r>
        <w:rPr>
          <w:rFonts w:hint="eastAsia"/>
          <w:color w:val="auto"/>
          <w:szCs w:val="21"/>
          <w:highlight w:val="none"/>
          <w:u w:val="none"/>
        </w:rPr>
        <w:t>（</w:t>
      </w:r>
      <w:r>
        <w:rPr>
          <w:color w:val="auto"/>
          <w:szCs w:val="21"/>
          <w:highlight w:val="none"/>
          <w:u w:val="none"/>
        </w:rPr>
        <w:t>2）</w:t>
      </w:r>
      <w:r>
        <w:rPr>
          <w:rFonts w:hint="eastAsia"/>
          <w:color w:val="auto"/>
          <w:szCs w:val="21"/>
          <w:highlight w:val="none"/>
          <w:u w:val="none"/>
        </w:rPr>
        <w:t>相关交易场所交易时间临时停市，导致管理人无法计算当日基金资产净值的情形；</w:t>
      </w:r>
    </w:p>
    <w:p>
      <w:pPr>
        <w:pStyle w:val="81"/>
        <w:rPr>
          <w:color w:val="auto"/>
          <w:highlight w:val="none"/>
          <w:u w:val="none"/>
        </w:rPr>
      </w:pPr>
      <w:r>
        <w:rPr>
          <w:rFonts w:hint="eastAsia"/>
          <w:color w:val="auto"/>
          <w:szCs w:val="21"/>
          <w:highlight w:val="none"/>
          <w:u w:val="none"/>
        </w:rPr>
        <w:t>（</w:t>
      </w:r>
      <w:r>
        <w:rPr>
          <w:color w:val="auto"/>
          <w:szCs w:val="21"/>
          <w:highlight w:val="none"/>
          <w:u w:val="none"/>
        </w:rPr>
        <w:t>3）</w:t>
      </w:r>
      <w:r>
        <w:rPr>
          <w:rFonts w:hint="eastAsia"/>
          <w:color w:val="auto"/>
          <w:szCs w:val="21"/>
          <w:highlight w:val="none"/>
          <w:u w:val="none"/>
        </w:rPr>
        <w:t>发生本合同规定的暂停基金资产估值的情形；</w:t>
      </w:r>
    </w:p>
    <w:p>
      <w:pPr>
        <w:pStyle w:val="81"/>
        <w:rPr>
          <w:color w:val="auto"/>
          <w:highlight w:val="none"/>
          <w:u w:val="none"/>
        </w:rPr>
      </w:pPr>
      <w:r>
        <w:rPr>
          <w:rFonts w:hint="eastAsia"/>
          <w:color w:val="auto"/>
          <w:szCs w:val="21"/>
          <w:highlight w:val="none"/>
          <w:u w:val="none"/>
        </w:rPr>
        <w:t>（</w:t>
      </w:r>
      <w:r>
        <w:rPr>
          <w:color w:val="auto"/>
          <w:szCs w:val="21"/>
          <w:highlight w:val="none"/>
          <w:u w:val="none"/>
        </w:rPr>
        <w:t>4）</w:t>
      </w:r>
      <w:r>
        <w:rPr>
          <w:rFonts w:hint="eastAsia"/>
          <w:color w:val="auto"/>
          <w:szCs w:val="21"/>
          <w:highlight w:val="none"/>
          <w:u w:val="none"/>
        </w:rPr>
        <w:t>法律法规规定或经中国证监会认定的其他情形。</w:t>
      </w:r>
    </w:p>
    <w:p>
      <w:pPr>
        <w:pStyle w:val="81"/>
        <w:rPr>
          <w:color w:val="auto"/>
          <w:highlight w:val="none"/>
          <w:u w:val="none"/>
        </w:rPr>
      </w:pPr>
      <w:r>
        <w:rPr>
          <w:rFonts w:hint="eastAsia"/>
          <w:color w:val="auto"/>
          <w:szCs w:val="21"/>
          <w:highlight w:val="none"/>
          <w:u w:val="none"/>
        </w:rPr>
        <w:t>管理人决定暂停接受全部或部分申购申请时，应当以公告的形式告知投资者。在暂停申购的情形消除时，管理人应及时恢复申购业务的办理并以公告的形式告知投资者。</w:t>
      </w:r>
    </w:p>
    <w:p>
      <w:pPr>
        <w:pStyle w:val="81"/>
        <w:rPr>
          <w:color w:val="auto"/>
          <w:highlight w:val="none"/>
          <w:u w:val="none"/>
        </w:rPr>
      </w:pPr>
      <w:r>
        <w:rPr>
          <w:color w:val="auto"/>
          <w:szCs w:val="21"/>
          <w:highlight w:val="none"/>
          <w:u w:val="none"/>
        </w:rPr>
        <w:t>3.</w:t>
      </w:r>
      <w:r>
        <w:rPr>
          <w:rFonts w:hint="eastAsia"/>
          <w:color w:val="auto"/>
          <w:szCs w:val="21"/>
          <w:highlight w:val="none"/>
          <w:u w:val="none"/>
        </w:rPr>
        <w:t>在如下情形下，管理人可以暂停接受或拒绝基金份额持有人根据本合同约定提起的赎回申请：</w:t>
      </w:r>
    </w:p>
    <w:p>
      <w:pPr>
        <w:pStyle w:val="81"/>
        <w:rPr>
          <w:color w:val="auto"/>
          <w:highlight w:val="none"/>
          <w:u w:val="none"/>
        </w:rPr>
      </w:pPr>
      <w:r>
        <w:rPr>
          <w:rFonts w:hint="eastAsia"/>
          <w:color w:val="auto"/>
          <w:szCs w:val="21"/>
          <w:highlight w:val="none"/>
          <w:u w:val="none"/>
        </w:rPr>
        <w:t>（</w:t>
      </w:r>
      <w:r>
        <w:rPr>
          <w:color w:val="auto"/>
          <w:szCs w:val="21"/>
          <w:highlight w:val="none"/>
          <w:u w:val="none"/>
        </w:rPr>
        <w:t>1）因不可抗力导致管理人无法支付赎回款项的情形；</w:t>
      </w:r>
    </w:p>
    <w:p>
      <w:pPr>
        <w:pStyle w:val="81"/>
        <w:rPr>
          <w:color w:val="auto"/>
          <w:highlight w:val="none"/>
          <w:u w:val="none"/>
        </w:rPr>
      </w:pPr>
      <w:r>
        <w:rPr>
          <w:rFonts w:hint="eastAsia"/>
          <w:color w:val="auto"/>
          <w:szCs w:val="21"/>
          <w:highlight w:val="none"/>
          <w:u w:val="none"/>
        </w:rPr>
        <w:t>（</w:t>
      </w:r>
      <w:r>
        <w:rPr>
          <w:color w:val="auto"/>
          <w:szCs w:val="21"/>
          <w:highlight w:val="none"/>
          <w:u w:val="none"/>
        </w:rPr>
        <w:t>2）</w:t>
      </w:r>
      <w:r>
        <w:rPr>
          <w:rFonts w:hint="eastAsia"/>
          <w:color w:val="auto"/>
          <w:szCs w:val="21"/>
          <w:highlight w:val="none"/>
          <w:u w:val="none"/>
        </w:rPr>
        <w:t>相关</w:t>
      </w:r>
      <w:r>
        <w:rPr>
          <w:color w:val="auto"/>
          <w:szCs w:val="21"/>
          <w:highlight w:val="none"/>
          <w:u w:val="none"/>
        </w:rPr>
        <w:t>交易场所交易时间临时停市，导致管理人无法计算当日基金资产净值的情形；</w:t>
      </w:r>
    </w:p>
    <w:p>
      <w:pPr>
        <w:pStyle w:val="81"/>
        <w:rPr>
          <w:color w:val="auto"/>
          <w:highlight w:val="none"/>
          <w:u w:val="none"/>
        </w:rPr>
      </w:pPr>
      <w:r>
        <w:rPr>
          <w:rFonts w:hint="eastAsia"/>
          <w:color w:val="auto"/>
          <w:szCs w:val="21"/>
          <w:highlight w:val="none"/>
          <w:u w:val="none"/>
        </w:rPr>
        <w:t>（</w:t>
      </w:r>
      <w:r>
        <w:rPr>
          <w:color w:val="auto"/>
          <w:szCs w:val="21"/>
          <w:highlight w:val="none"/>
          <w:u w:val="none"/>
        </w:rPr>
        <w:t>3）发生本合同规定的暂停基金资产估值的情形；</w:t>
      </w:r>
    </w:p>
    <w:p>
      <w:pPr>
        <w:pStyle w:val="81"/>
        <w:rPr>
          <w:color w:val="auto"/>
          <w:highlight w:val="none"/>
          <w:u w:val="none"/>
        </w:rPr>
      </w:pPr>
      <w:r>
        <w:rPr>
          <w:rFonts w:hint="eastAsia"/>
          <w:color w:val="auto"/>
          <w:szCs w:val="21"/>
          <w:highlight w:val="none"/>
          <w:u w:val="none"/>
        </w:rPr>
        <w:t>（</w:t>
      </w:r>
      <w:r>
        <w:rPr>
          <w:color w:val="auto"/>
          <w:szCs w:val="21"/>
          <w:highlight w:val="none"/>
          <w:u w:val="none"/>
        </w:rPr>
        <w:t>4）法律法规规定</w:t>
      </w:r>
      <w:r>
        <w:rPr>
          <w:rFonts w:hint="eastAsia"/>
          <w:color w:val="auto"/>
          <w:szCs w:val="21"/>
          <w:highlight w:val="none"/>
          <w:u w:val="none"/>
        </w:rPr>
        <w:t>、</w:t>
      </w:r>
      <w:r>
        <w:rPr>
          <w:color w:val="auto"/>
          <w:szCs w:val="21"/>
          <w:highlight w:val="none"/>
          <w:u w:val="none"/>
        </w:rPr>
        <w:t>经</w:t>
      </w:r>
      <w:r>
        <w:rPr>
          <w:rFonts w:hint="eastAsia"/>
          <w:color w:val="auto"/>
          <w:szCs w:val="21"/>
          <w:highlight w:val="none"/>
          <w:u w:val="none"/>
        </w:rPr>
        <w:t>监管部门</w:t>
      </w:r>
      <w:r>
        <w:rPr>
          <w:color w:val="auto"/>
          <w:szCs w:val="21"/>
          <w:highlight w:val="none"/>
          <w:u w:val="none"/>
        </w:rPr>
        <w:t>认定的</w:t>
      </w:r>
      <w:r>
        <w:rPr>
          <w:rFonts w:hint="eastAsia"/>
          <w:color w:val="auto"/>
          <w:szCs w:val="21"/>
          <w:highlight w:val="none"/>
          <w:u w:val="none"/>
        </w:rPr>
        <w:t>或本合同约定的管理人可暂停或拒绝接受赎回的</w:t>
      </w:r>
      <w:r>
        <w:rPr>
          <w:color w:val="auto"/>
          <w:szCs w:val="21"/>
          <w:highlight w:val="none"/>
          <w:u w:val="none"/>
        </w:rPr>
        <w:t>其他情形。</w:t>
      </w:r>
    </w:p>
    <w:p>
      <w:pPr>
        <w:pStyle w:val="81"/>
        <w:rPr>
          <w:color w:val="auto"/>
          <w:szCs w:val="21"/>
          <w:highlight w:val="none"/>
          <w:u w:val="none"/>
        </w:rPr>
      </w:pPr>
      <w:r>
        <w:rPr>
          <w:rFonts w:hint="eastAsia"/>
          <w:color w:val="auto"/>
          <w:szCs w:val="21"/>
          <w:highlight w:val="none"/>
          <w:u w:val="none"/>
        </w:rPr>
        <w:t>发生上述情形之一且管理人决定暂停赎回的，管理人应当以公告形式告知基金份额持有人。已接受的赎回申请，管理人应当足额支付；如暂时不能足额支付，应当按单个赎回申请人已被接受的赎回金额占已接受的赎回总金额的比例将可支付金额分配给赎回申请人，其余部分在后续工作日予以支付。</w:t>
      </w:r>
    </w:p>
    <w:p>
      <w:pPr>
        <w:pStyle w:val="81"/>
        <w:rPr>
          <w:color w:val="auto"/>
          <w:szCs w:val="21"/>
          <w:highlight w:val="none"/>
          <w:u w:val="none"/>
        </w:rPr>
      </w:pPr>
      <w:r>
        <w:rPr>
          <w:rFonts w:hint="eastAsia"/>
          <w:color w:val="auto"/>
          <w:szCs w:val="21"/>
          <w:highlight w:val="none"/>
          <w:u w:val="none"/>
        </w:rPr>
        <w:t>在暂停赎回的情况消除时，管理人应及时恢复赎回业务的办理并以公告形式告知基金份额持有人。</w:t>
      </w:r>
    </w:p>
    <w:p>
      <w:pPr>
        <w:pStyle w:val="81"/>
        <w:rPr>
          <w:color w:val="auto"/>
          <w:szCs w:val="21"/>
          <w:highlight w:val="none"/>
          <w:u w:val="none"/>
        </w:rPr>
      </w:pPr>
      <w:r>
        <w:rPr>
          <w:color w:val="auto"/>
          <w:szCs w:val="21"/>
          <w:highlight w:val="none"/>
          <w:u w:val="none"/>
        </w:rPr>
        <w:t>(五)</w:t>
      </w:r>
      <w:r>
        <w:rPr>
          <w:rFonts w:hint="eastAsia"/>
          <w:color w:val="auto"/>
          <w:szCs w:val="21"/>
          <w:highlight w:val="none"/>
          <w:u w:val="none"/>
        </w:rPr>
        <w:t>巨额赎回的认定和处理方式</w:t>
      </w:r>
    </w:p>
    <w:p>
      <w:pPr>
        <w:pStyle w:val="81"/>
        <w:rPr>
          <w:color w:val="auto"/>
          <w:szCs w:val="21"/>
          <w:highlight w:val="none"/>
          <w:u w:val="none"/>
        </w:rPr>
      </w:pPr>
      <w:r>
        <w:rPr>
          <w:color w:val="auto"/>
          <w:szCs w:val="21"/>
          <w:highlight w:val="none"/>
          <w:u w:val="none"/>
        </w:rPr>
        <w:t>1.</w:t>
      </w:r>
      <w:r>
        <w:rPr>
          <w:rFonts w:hint="eastAsia"/>
          <w:color w:val="auto"/>
          <w:szCs w:val="21"/>
          <w:highlight w:val="none"/>
          <w:u w:val="none"/>
        </w:rPr>
        <w:t>巨额赎回的认定</w:t>
      </w:r>
    </w:p>
    <w:p>
      <w:pPr>
        <w:pStyle w:val="81"/>
        <w:rPr>
          <w:color w:val="auto"/>
          <w:highlight w:val="none"/>
          <w:u w:val="none"/>
        </w:rPr>
      </w:pPr>
      <w:r>
        <w:rPr>
          <w:rFonts w:hint="eastAsia"/>
          <w:color w:val="auto"/>
          <w:szCs w:val="21"/>
          <w:highlight w:val="none"/>
          <w:u w:val="none"/>
        </w:rPr>
        <w:t>单个开放日中，净赎回申请的份额（赎回总份额扣除申购总份额后的余额）超过基金上一日总份额的</w:t>
      </w:r>
      <w:r>
        <w:rPr>
          <w:color w:val="auto"/>
          <w:szCs w:val="21"/>
          <w:highlight w:val="none"/>
          <w:u w:val="none"/>
        </w:rPr>
        <w:t>20</w:t>
      </w:r>
      <w:r>
        <w:rPr>
          <w:rFonts w:hint="eastAsia"/>
          <w:color w:val="auto"/>
          <w:szCs w:val="21"/>
          <w:highlight w:val="none"/>
          <w:u w:val="none"/>
        </w:rPr>
        <w:t>％时，即认为本基金发生了巨额赎回。</w:t>
      </w:r>
    </w:p>
    <w:p>
      <w:pPr>
        <w:pStyle w:val="81"/>
        <w:rPr>
          <w:color w:val="auto"/>
          <w:highlight w:val="none"/>
          <w:u w:val="none"/>
        </w:rPr>
      </w:pPr>
      <w:r>
        <w:rPr>
          <w:color w:val="auto"/>
          <w:szCs w:val="21"/>
          <w:highlight w:val="none"/>
          <w:u w:val="none"/>
        </w:rPr>
        <w:t>2.</w:t>
      </w:r>
      <w:r>
        <w:rPr>
          <w:rFonts w:hint="eastAsia"/>
          <w:color w:val="auto"/>
          <w:szCs w:val="21"/>
          <w:highlight w:val="none"/>
          <w:u w:val="none"/>
        </w:rPr>
        <w:t>巨额赎回的处理方式</w:t>
      </w:r>
    </w:p>
    <w:p>
      <w:pPr>
        <w:pStyle w:val="81"/>
        <w:rPr>
          <w:color w:val="auto"/>
          <w:highlight w:val="none"/>
          <w:u w:val="none"/>
        </w:rPr>
      </w:pPr>
      <w:r>
        <w:rPr>
          <w:rFonts w:hint="eastAsia"/>
          <w:color w:val="auto"/>
          <w:szCs w:val="21"/>
          <w:highlight w:val="none"/>
          <w:u w:val="none"/>
        </w:rPr>
        <w:t>当出现巨额赎回时，管理人可以根据本基金当时的资产组合状况决定全额赎回、部分顺延赎回。巨额赎回的价格由受理申请当日的基金份额净值决定。</w:t>
      </w:r>
    </w:p>
    <w:p>
      <w:pPr>
        <w:pStyle w:val="81"/>
        <w:rPr>
          <w:color w:val="auto"/>
          <w:highlight w:val="none"/>
          <w:u w:val="none"/>
        </w:rPr>
      </w:pPr>
      <w:r>
        <w:rPr>
          <w:rFonts w:hint="eastAsia"/>
          <w:color w:val="auto"/>
          <w:szCs w:val="21"/>
          <w:highlight w:val="none"/>
          <w:u w:val="none"/>
        </w:rPr>
        <w:t>全额赎回：当管理人认为有能力支付投资者的赎回申请时，按正常赎回程序执行。</w:t>
      </w:r>
    </w:p>
    <w:p>
      <w:pPr>
        <w:pStyle w:val="81"/>
        <w:rPr>
          <w:color w:val="auto"/>
          <w:highlight w:val="none"/>
          <w:u w:val="none"/>
        </w:rPr>
      </w:pPr>
      <w:r>
        <w:rPr>
          <w:rFonts w:hint="eastAsia"/>
          <w:color w:val="auto"/>
          <w:szCs w:val="21"/>
          <w:highlight w:val="none"/>
          <w:u w:val="none"/>
        </w:rPr>
        <w:t>部分顺延赎回：当基金财产支付投资者的赎回申请可能会对基金的资产净值造成较大波动时，管理人在当日正常接受的赎回份额不低于上一日基金总份额的</w:t>
      </w:r>
      <w:r>
        <w:rPr>
          <w:color w:val="auto"/>
          <w:szCs w:val="21"/>
          <w:highlight w:val="none"/>
          <w:u w:val="none"/>
        </w:rPr>
        <w:t>20</w:t>
      </w:r>
      <w:r>
        <w:rPr>
          <w:rFonts w:hint="eastAsia"/>
          <w:color w:val="auto"/>
          <w:szCs w:val="21"/>
          <w:highlight w:val="none"/>
          <w:u w:val="none"/>
        </w:rPr>
        <w:t>％的前提下，对其余赎回申请延期办理。对于当日的赎回申请，按单个账户赎回申请量占赎回申请总量的比例，确定当日受理的赎回份额；份额持有人可在申请赎回时选择将当日未获受理部分予以撤销（但不得违反本合同中关于赎回后持有的基金份额最低要求），如持有人不撤销未获处理部分，未受理部分自动延迟至下一个开放日办理。转入下一个开放日的赎回申请不享有优先权，并以该工作日的基金份额净值为依据计算赎回金额，以此类推，直到全部赎回为止。部分顺延赎回不受单笔赎回最低份额数量的限制。</w:t>
      </w:r>
    </w:p>
    <w:p>
      <w:pPr>
        <w:pStyle w:val="81"/>
        <w:rPr>
          <w:color w:val="auto"/>
          <w:highlight w:val="none"/>
          <w:u w:val="none"/>
        </w:rPr>
      </w:pPr>
      <w:r>
        <w:rPr>
          <w:color w:val="auto"/>
          <w:szCs w:val="21"/>
          <w:highlight w:val="none"/>
          <w:u w:val="none"/>
        </w:rPr>
        <w:t>3.</w:t>
      </w:r>
      <w:r>
        <w:rPr>
          <w:rFonts w:hint="eastAsia"/>
          <w:color w:val="auto"/>
          <w:szCs w:val="21"/>
          <w:highlight w:val="none"/>
          <w:u w:val="none"/>
        </w:rPr>
        <w:t>告知客户的方式</w:t>
      </w:r>
    </w:p>
    <w:p>
      <w:pPr>
        <w:pStyle w:val="81"/>
        <w:rPr>
          <w:color w:val="auto"/>
          <w:highlight w:val="none"/>
          <w:u w:val="none"/>
        </w:rPr>
      </w:pPr>
      <w:r>
        <w:rPr>
          <w:rFonts w:hint="eastAsia"/>
          <w:color w:val="auto"/>
          <w:szCs w:val="21"/>
          <w:highlight w:val="none"/>
          <w:u w:val="none"/>
        </w:rPr>
        <w:t>当出现巨额赎回并发生部分顺延赎回的，管理人应及时在其官方网站公告。</w:t>
      </w:r>
    </w:p>
    <w:p>
      <w:pPr>
        <w:pStyle w:val="81"/>
        <w:rPr>
          <w:color w:val="auto"/>
          <w:highlight w:val="none"/>
          <w:u w:val="none"/>
        </w:rPr>
      </w:pPr>
      <w:r>
        <w:rPr>
          <w:color w:val="auto"/>
          <w:szCs w:val="21"/>
          <w:highlight w:val="none"/>
          <w:u w:val="none"/>
        </w:rPr>
        <w:t>(六)</w:t>
      </w:r>
      <w:r>
        <w:rPr>
          <w:rFonts w:hint="eastAsia"/>
          <w:color w:val="auto"/>
          <w:szCs w:val="21"/>
          <w:highlight w:val="none"/>
          <w:u w:val="none"/>
        </w:rPr>
        <w:t>大额赎回</w:t>
      </w:r>
    </w:p>
    <w:p>
      <w:pPr>
        <w:pStyle w:val="81"/>
        <w:rPr>
          <w:color w:val="auto"/>
          <w:highlight w:val="none"/>
          <w:u w:val="none"/>
        </w:rPr>
      </w:pPr>
      <w:r>
        <w:rPr>
          <w:rFonts w:hint="eastAsia"/>
          <w:color w:val="auto"/>
          <w:szCs w:val="21"/>
          <w:highlight w:val="none"/>
          <w:u w:val="none"/>
        </w:rPr>
        <w:t>如委托人赎回申请构成了大额赎回，则委托人应向募集机构提出预约申请，即单个委托人从本基金中</w:t>
      </w:r>
      <w:r>
        <w:rPr>
          <w:color w:val="auto"/>
          <w:szCs w:val="21"/>
          <w:highlight w:val="none"/>
          <w:u w:val="none"/>
        </w:rPr>
        <w:t>1个工作日申请赎回的份额达到或超过1亿份（含1亿份），该委托人应在赎回日的前5个工作日提出申请，否则管理人和代销机构有权拒绝其赎回申请。</w:t>
      </w:r>
      <w:bookmarkStart w:id="25" w:name="_Toc258149317"/>
      <w:bookmarkStart w:id="26" w:name="_Toc194292243"/>
    </w:p>
    <w:p>
      <w:pPr>
        <w:pStyle w:val="4"/>
        <w:snapToGrid/>
        <w:spacing w:beforeLines="100" w:afterLines="50"/>
        <w:rPr>
          <w:rFonts w:ascii="楷体" w:hAnsi="楷体" w:eastAsia="楷体"/>
          <w:color w:val="auto"/>
          <w:sz w:val="24"/>
          <w:highlight w:val="none"/>
          <w:u w:val="none"/>
        </w:rPr>
      </w:pPr>
      <w:bookmarkStart w:id="27" w:name="_Toc482974533"/>
      <w:r>
        <w:rPr>
          <w:rFonts w:ascii="楷体" w:hAnsi="楷体" w:eastAsia="楷体"/>
          <w:color w:val="auto"/>
          <w:sz w:val="24"/>
          <w:highlight w:val="none"/>
          <w:u w:val="none"/>
        </w:rPr>
        <w:t>第</w:t>
      </w:r>
      <w:r>
        <w:rPr>
          <w:rFonts w:hint="eastAsia" w:ascii="楷体" w:hAnsi="楷体" w:eastAsia="楷体"/>
          <w:color w:val="auto"/>
          <w:sz w:val="24"/>
          <w:highlight w:val="none"/>
          <w:u w:val="none"/>
        </w:rPr>
        <w:t>九</w:t>
      </w:r>
      <w:r>
        <w:rPr>
          <w:rFonts w:ascii="楷体" w:hAnsi="楷体" w:eastAsia="楷体"/>
          <w:color w:val="auto"/>
          <w:sz w:val="24"/>
          <w:highlight w:val="none"/>
          <w:u w:val="none"/>
        </w:rPr>
        <w:t>节</w:t>
      </w:r>
      <w:r>
        <w:rPr>
          <w:rFonts w:hint="eastAsia" w:ascii="楷体" w:hAnsi="楷体" w:eastAsia="楷体"/>
          <w:color w:val="auto"/>
          <w:sz w:val="24"/>
          <w:highlight w:val="none"/>
          <w:u w:val="none"/>
        </w:rPr>
        <w:t>投资冷静期及回访确认</w:t>
      </w:r>
      <w:bookmarkEnd w:id="27"/>
    </w:p>
    <w:p>
      <w:pPr>
        <w:pStyle w:val="81"/>
        <w:rPr>
          <w:color w:val="auto"/>
          <w:highlight w:val="none"/>
          <w:u w:val="none"/>
        </w:rPr>
      </w:pPr>
      <w:r>
        <w:rPr>
          <w:color w:val="auto"/>
          <w:szCs w:val="21"/>
          <w:highlight w:val="none"/>
          <w:u w:val="none"/>
        </w:rPr>
        <w:t>(</w:t>
      </w:r>
      <w:r>
        <w:rPr>
          <w:rFonts w:hint="eastAsia"/>
          <w:color w:val="auto"/>
          <w:szCs w:val="21"/>
          <w:highlight w:val="none"/>
          <w:u w:val="none"/>
        </w:rPr>
        <w:t>一</w:t>
      </w:r>
      <w:r>
        <w:rPr>
          <w:color w:val="auto"/>
          <w:szCs w:val="21"/>
          <w:highlight w:val="none"/>
          <w:u w:val="none"/>
        </w:rPr>
        <w:t>)</w:t>
      </w:r>
      <w:r>
        <w:rPr>
          <w:rFonts w:hint="eastAsia"/>
          <w:color w:val="auto"/>
          <w:szCs w:val="21"/>
          <w:highlight w:val="none"/>
          <w:u w:val="none"/>
        </w:rPr>
        <w:t>适用投资冷静期及回访确认的投资者</w:t>
      </w:r>
    </w:p>
    <w:p>
      <w:pPr>
        <w:pStyle w:val="81"/>
        <w:rPr>
          <w:color w:val="auto"/>
          <w:highlight w:val="none"/>
          <w:u w:val="none"/>
        </w:rPr>
      </w:pPr>
      <w:r>
        <w:rPr>
          <w:rFonts w:hint="eastAsia"/>
          <w:color w:val="auto"/>
          <w:szCs w:val="21"/>
          <w:highlight w:val="none"/>
          <w:u w:val="none"/>
        </w:rPr>
        <w:t>本基金的如下投资者适用本节规定的投资冷静期及回访确认机制：</w:t>
      </w:r>
    </w:p>
    <w:p>
      <w:pPr>
        <w:pStyle w:val="81"/>
        <w:rPr>
          <w:color w:val="auto"/>
          <w:highlight w:val="none"/>
          <w:u w:val="none"/>
        </w:rPr>
      </w:pPr>
      <w:r>
        <w:rPr>
          <w:color w:val="auto"/>
          <w:szCs w:val="21"/>
          <w:highlight w:val="none"/>
          <w:u w:val="none"/>
        </w:rPr>
        <w:t>1.</w:t>
      </w:r>
      <w:r>
        <w:rPr>
          <w:rFonts w:hint="eastAsia"/>
          <w:color w:val="auto"/>
          <w:highlight w:val="none"/>
          <w:u w:val="none"/>
        </w:rPr>
        <w:t>初始销售</w:t>
      </w:r>
      <w:r>
        <w:rPr>
          <w:color w:val="auto"/>
          <w:highlight w:val="none"/>
          <w:u w:val="none"/>
        </w:rPr>
        <w:t>期</w:t>
      </w:r>
      <w:r>
        <w:rPr>
          <w:rFonts w:hint="eastAsia"/>
          <w:color w:val="auto"/>
          <w:szCs w:val="21"/>
          <w:highlight w:val="none"/>
          <w:u w:val="none"/>
        </w:rPr>
        <w:t>，首次认购的投资者；</w:t>
      </w:r>
    </w:p>
    <w:p>
      <w:pPr>
        <w:pStyle w:val="81"/>
        <w:rPr>
          <w:color w:val="auto"/>
          <w:highlight w:val="none"/>
          <w:u w:val="none"/>
        </w:rPr>
      </w:pPr>
      <w:r>
        <w:rPr>
          <w:color w:val="auto"/>
          <w:szCs w:val="21"/>
          <w:highlight w:val="none"/>
          <w:u w:val="none"/>
        </w:rPr>
        <w:t>2.</w:t>
      </w:r>
      <w:r>
        <w:rPr>
          <w:rFonts w:hint="eastAsia"/>
          <w:color w:val="auto"/>
          <w:szCs w:val="21"/>
          <w:highlight w:val="none"/>
          <w:u w:val="none"/>
        </w:rPr>
        <w:t>存续期，首次申购的投资者；</w:t>
      </w:r>
    </w:p>
    <w:p>
      <w:pPr>
        <w:pStyle w:val="81"/>
        <w:rPr>
          <w:color w:val="auto"/>
          <w:highlight w:val="none"/>
          <w:u w:val="none"/>
        </w:rPr>
      </w:pPr>
      <w:r>
        <w:rPr>
          <w:color w:val="auto"/>
          <w:szCs w:val="21"/>
          <w:highlight w:val="none"/>
          <w:u w:val="none"/>
        </w:rPr>
        <w:t>3.</w:t>
      </w:r>
      <w:r>
        <w:rPr>
          <w:rFonts w:hint="eastAsia"/>
          <w:color w:val="auto"/>
          <w:szCs w:val="21"/>
          <w:highlight w:val="none"/>
          <w:u w:val="none"/>
        </w:rPr>
        <w:t>存续期，已经赎回全部基金份额后续又进行申购的投资者。</w:t>
      </w:r>
    </w:p>
    <w:p>
      <w:pPr>
        <w:pStyle w:val="81"/>
        <w:rPr>
          <w:color w:val="auto"/>
          <w:highlight w:val="none"/>
          <w:u w:val="none"/>
        </w:rPr>
      </w:pPr>
      <w:r>
        <w:rPr>
          <w:rFonts w:hint="eastAsia"/>
          <w:color w:val="auto"/>
          <w:szCs w:val="21"/>
          <w:highlight w:val="none"/>
          <w:u w:val="none"/>
        </w:rPr>
        <w:t>《募集办法》第三十二条列明的投资者不适用本节约定的投资者冷静期及回访确认机制。</w:t>
      </w:r>
    </w:p>
    <w:p>
      <w:pPr>
        <w:pStyle w:val="81"/>
        <w:rPr>
          <w:color w:val="auto"/>
          <w:highlight w:val="none"/>
          <w:u w:val="none"/>
        </w:rPr>
      </w:pPr>
      <w:r>
        <w:rPr>
          <w:color w:val="auto"/>
          <w:szCs w:val="21"/>
          <w:highlight w:val="none"/>
          <w:u w:val="none"/>
        </w:rPr>
        <w:t>(二)</w:t>
      </w:r>
      <w:r>
        <w:rPr>
          <w:rFonts w:hint="eastAsia"/>
          <w:color w:val="auto"/>
          <w:szCs w:val="21"/>
          <w:highlight w:val="none"/>
          <w:u w:val="none"/>
        </w:rPr>
        <w:t>投资冷静期及回访确认</w:t>
      </w:r>
    </w:p>
    <w:p>
      <w:pPr>
        <w:pStyle w:val="81"/>
        <w:rPr>
          <w:color w:val="auto"/>
          <w:highlight w:val="none"/>
          <w:u w:val="none"/>
        </w:rPr>
      </w:pPr>
      <w:r>
        <w:rPr>
          <w:rFonts w:hint="eastAsia"/>
          <w:color w:val="auto"/>
          <w:szCs w:val="21"/>
          <w:highlight w:val="none"/>
          <w:u w:val="none"/>
        </w:rPr>
        <w:t>投资者在基金合同项下享有不少于二十四小时的投资冷静期，募集机构在投资冷静期内不得主动联系投资者；投资冷静期自基金合同签署完毕且投资者交纳认购</w:t>
      </w:r>
      <w:r>
        <w:rPr>
          <w:color w:val="auto"/>
          <w:szCs w:val="21"/>
          <w:highlight w:val="none"/>
          <w:u w:val="none"/>
        </w:rPr>
        <w:t>/申购基金的款项后起算。</w:t>
      </w:r>
    </w:p>
    <w:p>
      <w:pPr>
        <w:pStyle w:val="81"/>
        <w:rPr>
          <w:rFonts w:ascii="楷体" w:hAnsi="楷体" w:eastAsia="楷体"/>
          <w:color w:val="auto"/>
          <w:szCs w:val="21"/>
          <w:highlight w:val="none"/>
          <w:u w:val="none"/>
        </w:rPr>
      </w:pPr>
      <w:r>
        <w:rPr>
          <w:rFonts w:hint="eastAsia"/>
          <w:smallCaps/>
          <w:color w:val="auto"/>
          <w:szCs w:val="21"/>
          <w:highlight w:val="none"/>
          <w:u w:val="none"/>
        </w:rPr>
        <w:t>募集机构应当在投资冷静期满后，按照《募集办法》的要求进行投资回访确认，并</w:t>
      </w:r>
      <w:r>
        <w:rPr>
          <w:smallCaps/>
          <w:color w:val="auto"/>
          <w:szCs w:val="21"/>
          <w:highlight w:val="none"/>
          <w:u w:val="none"/>
        </w:rPr>
        <w:t>以</w:t>
      </w:r>
      <w:r>
        <w:rPr>
          <w:rFonts w:hint="eastAsia"/>
          <w:smallCaps/>
          <w:color w:val="auto"/>
          <w:szCs w:val="21"/>
          <w:highlight w:val="none"/>
          <w:u w:val="none"/>
        </w:rPr>
        <w:t>网络问卷、</w:t>
      </w:r>
      <w:r>
        <w:rPr>
          <w:smallCaps/>
          <w:color w:val="auto"/>
          <w:szCs w:val="21"/>
          <w:highlight w:val="none"/>
          <w:u w:val="none"/>
        </w:rPr>
        <w:t>录音电话</w:t>
      </w:r>
      <w:r>
        <w:rPr>
          <w:rFonts w:hint="eastAsia"/>
          <w:smallCaps/>
          <w:color w:val="auto"/>
          <w:szCs w:val="21"/>
          <w:highlight w:val="none"/>
          <w:u w:val="none"/>
        </w:rPr>
        <w:t>、电子</w:t>
      </w:r>
      <w:r>
        <w:rPr>
          <w:smallCaps/>
          <w:color w:val="auto"/>
          <w:szCs w:val="21"/>
          <w:highlight w:val="none"/>
          <w:u w:val="none"/>
        </w:rPr>
        <w:t>邮件</w:t>
      </w:r>
      <w:r>
        <w:rPr>
          <w:rFonts w:hint="eastAsia"/>
          <w:smallCaps/>
          <w:color w:val="auto"/>
          <w:szCs w:val="21"/>
          <w:highlight w:val="none"/>
          <w:u w:val="none"/>
        </w:rPr>
        <w:t>、</w:t>
      </w:r>
      <w:r>
        <w:rPr>
          <w:smallCaps/>
          <w:color w:val="auto"/>
          <w:szCs w:val="21"/>
          <w:highlight w:val="none"/>
          <w:u w:val="none"/>
        </w:rPr>
        <w:t>书面函件</w:t>
      </w:r>
      <w:r>
        <w:rPr>
          <w:rFonts w:hint="eastAsia"/>
          <w:smallCaps/>
          <w:color w:val="auto"/>
          <w:szCs w:val="21"/>
          <w:highlight w:val="none"/>
          <w:u w:val="none"/>
        </w:rPr>
        <w:t>等形式</w:t>
      </w:r>
      <w:r>
        <w:rPr>
          <w:smallCaps/>
          <w:color w:val="auto"/>
          <w:szCs w:val="21"/>
          <w:highlight w:val="none"/>
          <w:u w:val="none"/>
        </w:rPr>
        <w:t>对</w:t>
      </w:r>
      <w:r>
        <w:rPr>
          <w:rFonts w:hint="eastAsia"/>
          <w:smallCaps/>
          <w:color w:val="auto"/>
          <w:szCs w:val="21"/>
          <w:highlight w:val="none"/>
          <w:u w:val="none"/>
        </w:rPr>
        <w:t>是否回访确认成功予以</w:t>
      </w:r>
      <w:r>
        <w:rPr>
          <w:smallCaps/>
          <w:color w:val="auto"/>
          <w:szCs w:val="21"/>
          <w:highlight w:val="none"/>
          <w:u w:val="none"/>
        </w:rPr>
        <w:t>留痕</w:t>
      </w:r>
      <w:r>
        <w:rPr>
          <w:rFonts w:hint="eastAsia"/>
          <w:smallCaps/>
          <w:color w:val="auto"/>
          <w:szCs w:val="21"/>
          <w:highlight w:val="none"/>
          <w:u w:val="none"/>
        </w:rPr>
        <w:t>。</w:t>
      </w:r>
    </w:p>
    <w:p>
      <w:pPr>
        <w:pStyle w:val="81"/>
        <w:rPr>
          <w:rFonts w:ascii="楷体" w:hAnsi="楷体" w:eastAsia="楷体"/>
          <w:color w:val="auto"/>
          <w:szCs w:val="21"/>
          <w:highlight w:val="none"/>
          <w:u w:val="none"/>
        </w:rPr>
      </w:pPr>
      <w:r>
        <w:rPr>
          <w:rFonts w:hint="eastAsia"/>
          <w:color w:val="auto"/>
          <w:szCs w:val="21"/>
          <w:highlight w:val="none"/>
          <w:u w:val="none"/>
        </w:rPr>
        <w:t>投资者在募集机构回访确认成功前有权以下述任一种方式解除基金合同：</w:t>
      </w:r>
      <w:r>
        <w:rPr>
          <w:color w:val="auto"/>
          <w:szCs w:val="21"/>
          <w:highlight w:val="none"/>
          <w:u w:val="none"/>
        </w:rPr>
        <w:t>（1）</w:t>
      </w:r>
      <w:r>
        <w:rPr>
          <w:rFonts w:hint="eastAsia"/>
          <w:color w:val="auto"/>
          <w:szCs w:val="21"/>
          <w:highlight w:val="none"/>
          <w:u w:val="none"/>
        </w:rPr>
        <w:t>向募集</w:t>
      </w:r>
      <w:r>
        <w:rPr>
          <w:color w:val="auto"/>
          <w:szCs w:val="21"/>
          <w:highlight w:val="none"/>
          <w:u w:val="none"/>
        </w:rPr>
        <w:t>机构提交</w:t>
      </w:r>
      <w:r>
        <w:rPr>
          <w:rFonts w:hint="eastAsia"/>
          <w:color w:val="auto"/>
          <w:szCs w:val="21"/>
          <w:highlight w:val="none"/>
          <w:u w:val="none"/>
        </w:rPr>
        <w:t>经投资者</w:t>
      </w:r>
      <w:r>
        <w:rPr>
          <w:color w:val="auto"/>
          <w:szCs w:val="21"/>
          <w:highlight w:val="none"/>
          <w:u w:val="none"/>
        </w:rPr>
        <w:t>签署的</w:t>
      </w:r>
      <w:r>
        <w:rPr>
          <w:rFonts w:hint="eastAsia"/>
          <w:color w:val="auto"/>
          <w:szCs w:val="21"/>
          <w:highlight w:val="none"/>
          <w:u w:val="none"/>
        </w:rPr>
        <w:t>书面</w:t>
      </w:r>
      <w:r>
        <w:rPr>
          <w:color w:val="auto"/>
          <w:szCs w:val="21"/>
          <w:highlight w:val="none"/>
          <w:u w:val="none"/>
        </w:rPr>
        <w:t>函件要</w:t>
      </w:r>
      <w:r>
        <w:rPr>
          <w:rFonts w:hint="eastAsia"/>
          <w:color w:val="auto"/>
          <w:szCs w:val="21"/>
          <w:highlight w:val="none"/>
          <w:u w:val="none"/>
        </w:rPr>
        <w:t>求解除</w:t>
      </w:r>
      <w:r>
        <w:rPr>
          <w:color w:val="auto"/>
          <w:szCs w:val="21"/>
          <w:highlight w:val="none"/>
          <w:u w:val="none"/>
        </w:rPr>
        <w:t>合同或撤销认购/申购；（2）向募集机构指定</w:t>
      </w:r>
      <w:r>
        <w:rPr>
          <w:rFonts w:hint="eastAsia"/>
          <w:color w:val="auto"/>
          <w:szCs w:val="21"/>
          <w:highlight w:val="none"/>
          <w:u w:val="none"/>
        </w:rPr>
        <w:t>邮箱</w:t>
      </w:r>
      <w:r>
        <w:rPr>
          <w:color w:val="auto"/>
          <w:szCs w:val="21"/>
          <w:highlight w:val="none"/>
          <w:u w:val="none"/>
        </w:rPr>
        <w:t>发送</w:t>
      </w:r>
      <w:r>
        <w:rPr>
          <w:rFonts w:hint="eastAsia"/>
          <w:color w:val="auto"/>
          <w:szCs w:val="21"/>
          <w:highlight w:val="none"/>
          <w:u w:val="none"/>
        </w:rPr>
        <w:t>电子</w:t>
      </w:r>
      <w:r>
        <w:rPr>
          <w:color w:val="auto"/>
          <w:szCs w:val="21"/>
          <w:highlight w:val="none"/>
          <w:u w:val="none"/>
        </w:rPr>
        <w:t>邮件要</w:t>
      </w:r>
      <w:r>
        <w:rPr>
          <w:rFonts w:hint="eastAsia"/>
          <w:color w:val="auto"/>
          <w:szCs w:val="21"/>
          <w:highlight w:val="none"/>
          <w:u w:val="none"/>
        </w:rPr>
        <w:t>求解除</w:t>
      </w:r>
      <w:r>
        <w:rPr>
          <w:color w:val="auto"/>
          <w:szCs w:val="21"/>
          <w:highlight w:val="none"/>
          <w:u w:val="none"/>
        </w:rPr>
        <w:t>合同或撤销认购/申购</w:t>
      </w:r>
      <w:r>
        <w:rPr>
          <w:rFonts w:hint="eastAsia"/>
          <w:color w:val="auto"/>
          <w:szCs w:val="21"/>
          <w:highlight w:val="none"/>
          <w:u w:val="none"/>
        </w:rPr>
        <w:t>；或</w:t>
      </w:r>
      <w:r>
        <w:rPr>
          <w:color w:val="auto"/>
          <w:szCs w:val="21"/>
          <w:highlight w:val="none"/>
          <w:u w:val="none"/>
        </w:rPr>
        <w:t>（3）</w:t>
      </w:r>
      <w:r>
        <w:rPr>
          <w:rFonts w:hint="eastAsia"/>
          <w:color w:val="auto"/>
          <w:szCs w:val="21"/>
          <w:highlight w:val="none"/>
          <w:u w:val="none"/>
        </w:rPr>
        <w:t>在</w:t>
      </w:r>
      <w:r>
        <w:rPr>
          <w:color w:val="auto"/>
          <w:szCs w:val="21"/>
          <w:highlight w:val="none"/>
          <w:u w:val="none"/>
        </w:rPr>
        <w:t>募集机构进行回访确认时明确表示要</w:t>
      </w:r>
      <w:r>
        <w:rPr>
          <w:rFonts w:hint="eastAsia"/>
          <w:color w:val="auto"/>
          <w:szCs w:val="21"/>
          <w:highlight w:val="none"/>
          <w:u w:val="none"/>
        </w:rPr>
        <w:t>解除</w:t>
      </w:r>
      <w:r>
        <w:rPr>
          <w:color w:val="auto"/>
          <w:szCs w:val="21"/>
          <w:highlight w:val="none"/>
          <w:u w:val="none"/>
        </w:rPr>
        <w:t>合同或撤销认购/申购</w:t>
      </w:r>
      <w:r>
        <w:rPr>
          <w:rFonts w:hint="eastAsia"/>
          <w:color w:val="auto"/>
          <w:szCs w:val="21"/>
          <w:highlight w:val="none"/>
          <w:u w:val="none"/>
        </w:rPr>
        <w:t>的，出现前述情形之一的，募集机构应当自收到投资者</w:t>
      </w:r>
      <w:r>
        <w:rPr>
          <w:color w:val="auto"/>
          <w:szCs w:val="21"/>
          <w:highlight w:val="none"/>
          <w:u w:val="none"/>
        </w:rPr>
        <w:t>发送的</w:t>
      </w:r>
      <w:r>
        <w:rPr>
          <w:rFonts w:hint="eastAsia"/>
          <w:color w:val="auto"/>
          <w:szCs w:val="21"/>
          <w:highlight w:val="none"/>
          <w:u w:val="none"/>
        </w:rPr>
        <w:t>解除</w:t>
      </w:r>
      <w:r>
        <w:rPr>
          <w:color w:val="auto"/>
          <w:szCs w:val="21"/>
          <w:highlight w:val="none"/>
          <w:u w:val="none"/>
        </w:rPr>
        <w:t>基金合同</w:t>
      </w:r>
      <w:r>
        <w:rPr>
          <w:rFonts w:hint="eastAsia"/>
          <w:color w:val="auto"/>
          <w:szCs w:val="21"/>
          <w:highlight w:val="none"/>
          <w:u w:val="none"/>
        </w:rPr>
        <w:t>或</w:t>
      </w:r>
      <w:r>
        <w:rPr>
          <w:color w:val="auto"/>
          <w:szCs w:val="21"/>
          <w:highlight w:val="none"/>
          <w:u w:val="none"/>
        </w:rPr>
        <w:t>撤销</w:t>
      </w:r>
      <w:r>
        <w:rPr>
          <w:rFonts w:hint="eastAsia"/>
          <w:color w:val="auto"/>
          <w:szCs w:val="21"/>
          <w:highlight w:val="none"/>
          <w:u w:val="none"/>
        </w:rPr>
        <w:t>认购</w:t>
      </w:r>
      <w:r>
        <w:rPr>
          <w:color w:val="auto"/>
          <w:szCs w:val="21"/>
          <w:highlight w:val="none"/>
          <w:u w:val="none"/>
        </w:rPr>
        <w:t>/</w:t>
      </w:r>
      <w:r>
        <w:rPr>
          <w:rFonts w:hint="eastAsia"/>
          <w:color w:val="auto"/>
          <w:szCs w:val="21"/>
          <w:highlight w:val="none"/>
          <w:u w:val="none"/>
        </w:rPr>
        <w:t>申购的</w:t>
      </w:r>
      <w:r>
        <w:rPr>
          <w:color w:val="auto"/>
          <w:szCs w:val="21"/>
          <w:highlight w:val="none"/>
          <w:u w:val="none"/>
        </w:rPr>
        <w:t>意思表示之日</w:t>
      </w:r>
      <w:r>
        <w:rPr>
          <w:rFonts w:hint="eastAsia"/>
          <w:color w:val="auto"/>
          <w:szCs w:val="21"/>
          <w:highlight w:val="none"/>
          <w:u w:val="none"/>
        </w:rPr>
        <w:t>起</w:t>
      </w:r>
      <w:r>
        <w:rPr>
          <w:color w:val="auto"/>
          <w:szCs w:val="21"/>
          <w:highlight w:val="none"/>
          <w:u w:val="none"/>
        </w:rPr>
        <w:t>5</w:t>
      </w:r>
      <w:r>
        <w:rPr>
          <w:rFonts w:hint="eastAsia"/>
          <w:color w:val="auto"/>
          <w:szCs w:val="21"/>
          <w:highlight w:val="none"/>
          <w:u w:val="none"/>
        </w:rPr>
        <w:t>个工作日内，将投资者的全部认购</w:t>
      </w:r>
      <w:r>
        <w:rPr>
          <w:color w:val="auto"/>
          <w:szCs w:val="21"/>
          <w:highlight w:val="none"/>
          <w:u w:val="none"/>
        </w:rPr>
        <w:t>/</w:t>
      </w:r>
      <w:r>
        <w:rPr>
          <w:rFonts w:hint="eastAsia"/>
          <w:color w:val="auto"/>
          <w:szCs w:val="21"/>
          <w:highlight w:val="none"/>
          <w:u w:val="none"/>
        </w:rPr>
        <w:t>申购款项退还投资者。对于回访确认不成功的投资者，管理人有权拒绝其认购</w:t>
      </w:r>
      <w:r>
        <w:rPr>
          <w:color w:val="auto"/>
          <w:szCs w:val="21"/>
          <w:highlight w:val="none"/>
          <w:u w:val="none"/>
        </w:rPr>
        <w:t>/申购申请。</w:t>
      </w:r>
    </w:p>
    <w:p>
      <w:pPr>
        <w:pStyle w:val="81"/>
        <w:rPr>
          <w:rFonts w:ascii="楷体" w:hAnsi="楷体" w:eastAsia="楷体"/>
          <w:color w:val="auto"/>
          <w:szCs w:val="21"/>
          <w:highlight w:val="none"/>
          <w:u w:val="none"/>
        </w:rPr>
      </w:pPr>
      <w:r>
        <w:rPr>
          <w:rFonts w:hint="eastAsia"/>
          <w:color w:val="auto"/>
          <w:szCs w:val="21"/>
          <w:highlight w:val="none"/>
          <w:u w:val="none"/>
        </w:rPr>
        <w:t>未经回访确认成功的，投资者交纳的认购</w:t>
      </w:r>
      <w:r>
        <w:rPr>
          <w:color w:val="auto"/>
          <w:szCs w:val="21"/>
          <w:highlight w:val="none"/>
          <w:u w:val="none"/>
        </w:rPr>
        <w:t>/</w:t>
      </w:r>
      <w:r>
        <w:rPr>
          <w:rFonts w:hint="eastAsia"/>
          <w:color w:val="auto"/>
          <w:szCs w:val="21"/>
          <w:highlight w:val="none"/>
          <w:u w:val="none"/>
        </w:rPr>
        <w:t>申购基金款项不得由募集账户划转到基金财产账户或托管资金账户，管理人不得投资运作投资者交纳的认购</w:t>
      </w:r>
      <w:r>
        <w:rPr>
          <w:color w:val="auto"/>
          <w:szCs w:val="21"/>
          <w:highlight w:val="none"/>
          <w:u w:val="none"/>
        </w:rPr>
        <w:t>/</w:t>
      </w:r>
      <w:r>
        <w:rPr>
          <w:rFonts w:hint="eastAsia"/>
          <w:color w:val="auto"/>
          <w:szCs w:val="21"/>
          <w:highlight w:val="none"/>
          <w:u w:val="none"/>
        </w:rPr>
        <w:t>申购基金款项。</w:t>
      </w:r>
    </w:p>
    <w:p>
      <w:pPr>
        <w:pStyle w:val="81"/>
        <w:rPr>
          <w:rFonts w:ascii="楷体" w:hAnsi="楷体" w:eastAsia="楷体"/>
          <w:color w:val="auto"/>
          <w:szCs w:val="21"/>
          <w:highlight w:val="none"/>
          <w:u w:val="none"/>
        </w:rPr>
      </w:pPr>
      <w:r>
        <w:rPr>
          <w:rFonts w:hint="eastAsia"/>
          <w:color w:val="auto"/>
          <w:szCs w:val="21"/>
          <w:highlight w:val="none"/>
          <w:u w:val="none"/>
        </w:rPr>
        <w:t>回访</w:t>
      </w:r>
      <w:r>
        <w:rPr>
          <w:color w:val="auto"/>
          <w:szCs w:val="21"/>
          <w:highlight w:val="none"/>
          <w:u w:val="none"/>
        </w:rPr>
        <w:t>确认成功</w:t>
      </w:r>
      <w:r>
        <w:rPr>
          <w:rFonts w:hint="eastAsia"/>
          <w:color w:val="auto"/>
          <w:szCs w:val="21"/>
          <w:highlight w:val="none"/>
          <w:u w:val="none"/>
        </w:rPr>
        <w:t>的，管理人或者销售机构需将回访确认的结果以书面通知或者约定的其他方式告知托管人及外包服务机构。</w:t>
      </w:r>
    </w:p>
    <w:p>
      <w:pPr>
        <w:pStyle w:val="81"/>
        <w:rPr>
          <w:rFonts w:ascii="楷体" w:hAnsi="楷体" w:eastAsia="楷体"/>
          <w:color w:val="auto"/>
          <w:szCs w:val="21"/>
          <w:highlight w:val="none"/>
          <w:u w:val="none"/>
        </w:rPr>
      </w:pPr>
      <w:r>
        <w:rPr>
          <w:rFonts w:hint="eastAsia"/>
          <w:color w:val="auto"/>
          <w:szCs w:val="21"/>
          <w:highlight w:val="none"/>
          <w:u w:val="none"/>
        </w:rPr>
        <w:t>回访</w:t>
      </w:r>
      <w:r>
        <w:rPr>
          <w:color w:val="auto"/>
          <w:szCs w:val="21"/>
          <w:highlight w:val="none"/>
          <w:u w:val="none"/>
        </w:rPr>
        <w:t>确认成功后，投资者不得要求</w:t>
      </w:r>
      <w:r>
        <w:rPr>
          <w:rFonts w:hint="eastAsia"/>
          <w:color w:val="auto"/>
          <w:szCs w:val="21"/>
          <w:highlight w:val="none"/>
          <w:u w:val="none"/>
        </w:rPr>
        <w:t>解除</w:t>
      </w:r>
      <w:r>
        <w:rPr>
          <w:color w:val="auto"/>
          <w:szCs w:val="21"/>
          <w:highlight w:val="none"/>
          <w:u w:val="none"/>
        </w:rPr>
        <w:t>合同或撤销认购/申购。</w:t>
      </w:r>
    </w:p>
    <w:p>
      <w:pPr>
        <w:pStyle w:val="81"/>
        <w:rPr>
          <w:color w:val="auto"/>
          <w:highlight w:val="none"/>
          <w:u w:val="none"/>
        </w:rPr>
      </w:pPr>
      <w:r>
        <w:rPr>
          <w:rFonts w:hint="eastAsia"/>
          <w:color w:val="auto"/>
          <w:szCs w:val="21"/>
          <w:highlight w:val="none"/>
          <w:u w:val="none"/>
        </w:rPr>
        <w:t>外包服务机构仅根据管理人</w:t>
      </w:r>
      <w:r>
        <w:rPr>
          <w:color w:val="auto"/>
          <w:szCs w:val="21"/>
          <w:highlight w:val="none"/>
          <w:u w:val="none"/>
        </w:rPr>
        <w:t>的指令</w:t>
      </w:r>
      <w:r>
        <w:rPr>
          <w:rFonts w:hint="eastAsia"/>
          <w:color w:val="auto"/>
          <w:szCs w:val="21"/>
          <w:highlight w:val="none"/>
          <w:u w:val="none"/>
        </w:rPr>
        <w:t>载明</w:t>
      </w:r>
      <w:r>
        <w:rPr>
          <w:color w:val="auto"/>
          <w:szCs w:val="21"/>
          <w:highlight w:val="none"/>
          <w:u w:val="none"/>
        </w:rPr>
        <w:t>的金额和时间将认购/申购</w:t>
      </w:r>
      <w:r>
        <w:rPr>
          <w:rFonts w:hint="eastAsia"/>
          <w:color w:val="auto"/>
          <w:szCs w:val="21"/>
          <w:highlight w:val="none"/>
          <w:u w:val="none"/>
        </w:rPr>
        <w:t>成功款项</w:t>
      </w:r>
      <w:r>
        <w:rPr>
          <w:color w:val="auto"/>
          <w:szCs w:val="21"/>
          <w:highlight w:val="none"/>
          <w:u w:val="none"/>
        </w:rPr>
        <w:t>自募集账</w:t>
      </w:r>
      <w:r>
        <w:rPr>
          <w:rFonts w:hint="eastAsia"/>
          <w:color w:val="auto"/>
          <w:szCs w:val="21"/>
          <w:highlight w:val="none"/>
          <w:u w:val="none"/>
        </w:rPr>
        <w:t>户</w:t>
      </w:r>
      <w:r>
        <w:rPr>
          <w:color w:val="auto"/>
          <w:szCs w:val="21"/>
          <w:highlight w:val="none"/>
          <w:u w:val="none"/>
        </w:rPr>
        <w:t>划转到基金</w:t>
      </w:r>
      <w:r>
        <w:rPr>
          <w:rFonts w:hint="eastAsia"/>
          <w:color w:val="auto"/>
          <w:szCs w:val="21"/>
          <w:highlight w:val="none"/>
          <w:u w:val="none"/>
        </w:rPr>
        <w:t>财产</w:t>
      </w:r>
      <w:r>
        <w:rPr>
          <w:color w:val="auto"/>
          <w:szCs w:val="21"/>
          <w:highlight w:val="none"/>
          <w:u w:val="none"/>
        </w:rPr>
        <w:t>账户或托管资金账户</w:t>
      </w:r>
      <w:r>
        <w:rPr>
          <w:rFonts w:hint="eastAsia"/>
          <w:color w:val="auto"/>
          <w:szCs w:val="21"/>
          <w:highlight w:val="none"/>
          <w:u w:val="none"/>
        </w:rPr>
        <w:t>、</w:t>
      </w:r>
      <w:r>
        <w:rPr>
          <w:color w:val="auto"/>
          <w:szCs w:val="21"/>
          <w:highlight w:val="none"/>
          <w:u w:val="none"/>
        </w:rPr>
        <w:t>认购/申购</w:t>
      </w:r>
      <w:r>
        <w:rPr>
          <w:rFonts w:hint="eastAsia"/>
          <w:color w:val="auto"/>
          <w:szCs w:val="21"/>
          <w:highlight w:val="none"/>
          <w:u w:val="none"/>
        </w:rPr>
        <w:t>失败的退回款项</w:t>
      </w:r>
      <w:r>
        <w:rPr>
          <w:color w:val="auto"/>
          <w:szCs w:val="21"/>
          <w:highlight w:val="none"/>
          <w:u w:val="none"/>
        </w:rPr>
        <w:t>自募集账</w:t>
      </w:r>
      <w:r>
        <w:rPr>
          <w:rFonts w:hint="eastAsia"/>
          <w:color w:val="auto"/>
          <w:szCs w:val="21"/>
          <w:highlight w:val="none"/>
          <w:u w:val="none"/>
        </w:rPr>
        <w:t>户</w:t>
      </w:r>
      <w:r>
        <w:rPr>
          <w:color w:val="auto"/>
          <w:szCs w:val="21"/>
          <w:highlight w:val="none"/>
          <w:u w:val="none"/>
        </w:rPr>
        <w:t>划转到</w:t>
      </w:r>
      <w:r>
        <w:rPr>
          <w:rFonts w:hint="eastAsia"/>
          <w:color w:val="auto"/>
          <w:szCs w:val="21"/>
          <w:highlight w:val="none"/>
          <w:u w:val="none"/>
        </w:rPr>
        <w:t>投资者账户</w:t>
      </w:r>
      <w:r>
        <w:rPr>
          <w:rFonts w:hint="eastAsia"/>
          <w:color w:val="auto"/>
          <w:highlight w:val="none"/>
          <w:u w:val="none"/>
        </w:rPr>
        <w:t>或</w:t>
      </w:r>
      <w:r>
        <w:rPr>
          <w:color w:val="auto"/>
          <w:highlight w:val="none"/>
          <w:u w:val="none"/>
        </w:rPr>
        <w:t>代销</w:t>
      </w:r>
      <w:r>
        <w:rPr>
          <w:rFonts w:hint="eastAsia"/>
          <w:color w:val="auto"/>
          <w:highlight w:val="none"/>
          <w:u w:val="none"/>
        </w:rPr>
        <w:t>归集户</w:t>
      </w:r>
      <w:r>
        <w:rPr>
          <w:color w:val="auto"/>
          <w:szCs w:val="21"/>
          <w:highlight w:val="none"/>
          <w:u w:val="none"/>
        </w:rPr>
        <w:t>，不负责</w:t>
      </w:r>
      <w:r>
        <w:rPr>
          <w:rFonts w:hint="eastAsia"/>
          <w:color w:val="auto"/>
          <w:szCs w:val="21"/>
          <w:highlight w:val="none"/>
          <w:u w:val="none"/>
        </w:rPr>
        <w:t>对投资者</w:t>
      </w:r>
      <w:r>
        <w:rPr>
          <w:color w:val="auto"/>
          <w:szCs w:val="21"/>
          <w:highlight w:val="none"/>
          <w:u w:val="none"/>
        </w:rPr>
        <w:t>投资冷静期及回访确认程序的</w:t>
      </w:r>
      <w:r>
        <w:rPr>
          <w:rFonts w:hint="eastAsia"/>
          <w:color w:val="auto"/>
          <w:szCs w:val="21"/>
          <w:highlight w:val="none"/>
          <w:u w:val="none"/>
        </w:rPr>
        <w:t>真实性</w:t>
      </w:r>
      <w:r>
        <w:rPr>
          <w:color w:val="auto"/>
          <w:szCs w:val="21"/>
          <w:highlight w:val="none"/>
          <w:u w:val="none"/>
        </w:rPr>
        <w:t>、有效性和</w:t>
      </w:r>
      <w:r>
        <w:rPr>
          <w:rFonts w:hint="eastAsia"/>
          <w:color w:val="auto"/>
          <w:szCs w:val="21"/>
          <w:highlight w:val="none"/>
          <w:u w:val="none"/>
        </w:rPr>
        <w:t>合法</w:t>
      </w:r>
      <w:r>
        <w:rPr>
          <w:color w:val="auto"/>
          <w:szCs w:val="21"/>
          <w:highlight w:val="none"/>
          <w:u w:val="none"/>
        </w:rPr>
        <w:t>合规性</w:t>
      </w:r>
      <w:r>
        <w:rPr>
          <w:rFonts w:hint="eastAsia"/>
          <w:color w:val="auto"/>
          <w:szCs w:val="21"/>
          <w:highlight w:val="none"/>
          <w:u w:val="none"/>
        </w:rPr>
        <w:t>进行</w:t>
      </w:r>
      <w:r>
        <w:rPr>
          <w:color w:val="auto"/>
          <w:szCs w:val="21"/>
          <w:highlight w:val="none"/>
          <w:u w:val="none"/>
        </w:rPr>
        <w:t>判断</w:t>
      </w:r>
      <w:r>
        <w:rPr>
          <w:rFonts w:hint="eastAsia"/>
          <w:color w:val="auto"/>
          <w:szCs w:val="21"/>
          <w:highlight w:val="none"/>
          <w:u w:val="none"/>
        </w:rPr>
        <w:t>。管理人</w:t>
      </w:r>
      <w:r>
        <w:rPr>
          <w:color w:val="auto"/>
          <w:szCs w:val="21"/>
          <w:highlight w:val="none"/>
          <w:u w:val="none"/>
        </w:rPr>
        <w:t>应确保</w:t>
      </w:r>
      <w:r>
        <w:rPr>
          <w:rFonts w:hint="eastAsia"/>
          <w:color w:val="auto"/>
          <w:szCs w:val="21"/>
          <w:highlight w:val="none"/>
          <w:u w:val="none"/>
        </w:rPr>
        <w:t>投资者</w:t>
      </w:r>
      <w:r>
        <w:rPr>
          <w:color w:val="auto"/>
          <w:szCs w:val="21"/>
          <w:highlight w:val="none"/>
          <w:u w:val="none"/>
        </w:rPr>
        <w:t>投资冷静期及回访确认程序的</w:t>
      </w:r>
      <w:r>
        <w:rPr>
          <w:rFonts w:hint="eastAsia"/>
          <w:color w:val="auto"/>
          <w:szCs w:val="21"/>
          <w:highlight w:val="none"/>
          <w:u w:val="none"/>
        </w:rPr>
        <w:t>真实性</w:t>
      </w:r>
      <w:r>
        <w:rPr>
          <w:color w:val="auto"/>
          <w:szCs w:val="21"/>
          <w:highlight w:val="none"/>
          <w:u w:val="none"/>
        </w:rPr>
        <w:t>、有效性和</w:t>
      </w:r>
      <w:r>
        <w:rPr>
          <w:rFonts w:hint="eastAsia"/>
          <w:color w:val="auto"/>
          <w:szCs w:val="21"/>
          <w:highlight w:val="none"/>
          <w:u w:val="none"/>
        </w:rPr>
        <w:t>合法</w:t>
      </w:r>
      <w:r>
        <w:rPr>
          <w:color w:val="auto"/>
          <w:szCs w:val="21"/>
          <w:highlight w:val="none"/>
          <w:u w:val="none"/>
        </w:rPr>
        <w:t>合规性</w:t>
      </w:r>
      <w:r>
        <w:rPr>
          <w:rFonts w:hint="eastAsia"/>
          <w:color w:val="auto"/>
          <w:szCs w:val="21"/>
          <w:highlight w:val="none"/>
          <w:u w:val="none"/>
        </w:rPr>
        <w:t>，</w:t>
      </w:r>
      <w:r>
        <w:rPr>
          <w:color w:val="auto"/>
          <w:szCs w:val="21"/>
          <w:highlight w:val="none"/>
          <w:u w:val="none"/>
        </w:rPr>
        <w:t>应确保</w:t>
      </w:r>
      <w:r>
        <w:rPr>
          <w:rFonts w:hint="eastAsia"/>
          <w:color w:val="auto"/>
          <w:szCs w:val="21"/>
          <w:highlight w:val="none"/>
          <w:u w:val="none"/>
        </w:rPr>
        <w:t>指令</w:t>
      </w:r>
      <w:r>
        <w:rPr>
          <w:color w:val="auto"/>
          <w:szCs w:val="21"/>
          <w:highlight w:val="none"/>
          <w:u w:val="none"/>
        </w:rPr>
        <w:t>载明的</w:t>
      </w:r>
      <w:r>
        <w:rPr>
          <w:rFonts w:hint="eastAsia"/>
          <w:color w:val="auto"/>
          <w:szCs w:val="21"/>
          <w:highlight w:val="none"/>
          <w:u w:val="none"/>
        </w:rPr>
        <w:t>认购</w:t>
      </w:r>
      <w:r>
        <w:rPr>
          <w:color w:val="auto"/>
          <w:szCs w:val="21"/>
          <w:highlight w:val="none"/>
          <w:u w:val="none"/>
        </w:rPr>
        <w:t>/申购款</w:t>
      </w:r>
      <w:r>
        <w:rPr>
          <w:rFonts w:hint="eastAsia"/>
          <w:color w:val="auto"/>
          <w:szCs w:val="21"/>
          <w:highlight w:val="none"/>
          <w:u w:val="none"/>
        </w:rPr>
        <w:t>项的</w:t>
      </w:r>
      <w:r>
        <w:rPr>
          <w:color w:val="auto"/>
          <w:szCs w:val="21"/>
          <w:highlight w:val="none"/>
          <w:u w:val="none"/>
        </w:rPr>
        <w:t>划转</w:t>
      </w:r>
      <w:r>
        <w:rPr>
          <w:rFonts w:hint="eastAsia"/>
          <w:color w:val="auto"/>
          <w:szCs w:val="21"/>
          <w:highlight w:val="none"/>
          <w:u w:val="none"/>
        </w:rPr>
        <w:t>真实</w:t>
      </w:r>
      <w:r>
        <w:rPr>
          <w:color w:val="auto"/>
          <w:szCs w:val="21"/>
          <w:highlight w:val="none"/>
          <w:u w:val="none"/>
        </w:rPr>
        <w:t>、有效</w:t>
      </w:r>
      <w:r>
        <w:rPr>
          <w:rFonts w:hint="eastAsia"/>
          <w:color w:val="auto"/>
          <w:szCs w:val="21"/>
          <w:highlight w:val="none"/>
          <w:u w:val="none"/>
        </w:rPr>
        <w:t>、合法</w:t>
      </w:r>
      <w:r>
        <w:rPr>
          <w:color w:val="auto"/>
          <w:szCs w:val="21"/>
          <w:highlight w:val="none"/>
          <w:u w:val="none"/>
        </w:rPr>
        <w:t>合规</w:t>
      </w:r>
      <w:r>
        <w:rPr>
          <w:rFonts w:hint="eastAsia"/>
          <w:color w:val="auto"/>
          <w:szCs w:val="21"/>
          <w:highlight w:val="none"/>
          <w:u w:val="none"/>
        </w:rPr>
        <w:t>，与</w:t>
      </w:r>
      <w:r>
        <w:rPr>
          <w:color w:val="auto"/>
          <w:szCs w:val="21"/>
          <w:highlight w:val="none"/>
          <w:u w:val="none"/>
        </w:rPr>
        <w:t>投资冷静期、回访</w:t>
      </w:r>
      <w:r>
        <w:rPr>
          <w:rFonts w:hint="eastAsia"/>
          <w:color w:val="auto"/>
          <w:szCs w:val="21"/>
          <w:highlight w:val="none"/>
          <w:u w:val="none"/>
        </w:rPr>
        <w:t>确认</w:t>
      </w:r>
      <w:r>
        <w:rPr>
          <w:color w:val="auto"/>
          <w:szCs w:val="21"/>
          <w:highlight w:val="none"/>
          <w:u w:val="none"/>
        </w:rPr>
        <w:t>程序</w:t>
      </w:r>
      <w:r>
        <w:rPr>
          <w:rFonts w:hint="eastAsia"/>
          <w:color w:val="auto"/>
          <w:szCs w:val="21"/>
          <w:highlight w:val="none"/>
          <w:u w:val="none"/>
        </w:rPr>
        <w:t>引起</w:t>
      </w:r>
      <w:r>
        <w:rPr>
          <w:color w:val="auto"/>
          <w:szCs w:val="21"/>
          <w:highlight w:val="none"/>
          <w:u w:val="none"/>
        </w:rPr>
        <w:t>的相关争议和责任外包服务机构不承担任何责任</w:t>
      </w:r>
      <w:r>
        <w:rPr>
          <w:rFonts w:hint="eastAsia"/>
          <w:color w:val="auto"/>
          <w:szCs w:val="21"/>
          <w:highlight w:val="none"/>
          <w:u w:val="none"/>
        </w:rPr>
        <w:t>，</w:t>
      </w:r>
      <w:r>
        <w:rPr>
          <w:color w:val="auto"/>
          <w:szCs w:val="21"/>
          <w:highlight w:val="none"/>
          <w:u w:val="none"/>
        </w:rPr>
        <w:t>由</w:t>
      </w:r>
      <w:r>
        <w:rPr>
          <w:rFonts w:hint="eastAsia"/>
          <w:color w:val="auto"/>
          <w:szCs w:val="21"/>
          <w:highlight w:val="none"/>
          <w:u w:val="none"/>
        </w:rPr>
        <w:t>管理人</w:t>
      </w:r>
      <w:r>
        <w:rPr>
          <w:color w:val="auto"/>
          <w:szCs w:val="21"/>
          <w:highlight w:val="none"/>
          <w:u w:val="none"/>
        </w:rPr>
        <w:t>承担。但外包服务机构根据相关信息</w:t>
      </w:r>
      <w:r>
        <w:rPr>
          <w:rFonts w:hint="eastAsia"/>
          <w:color w:val="auto"/>
          <w:szCs w:val="21"/>
          <w:highlight w:val="none"/>
          <w:u w:val="none"/>
        </w:rPr>
        <w:t>可以</w:t>
      </w:r>
      <w:r>
        <w:rPr>
          <w:color w:val="auto"/>
          <w:szCs w:val="21"/>
          <w:highlight w:val="none"/>
          <w:u w:val="none"/>
        </w:rPr>
        <w:t>证明</w:t>
      </w:r>
      <w:r>
        <w:rPr>
          <w:rFonts w:hint="eastAsia"/>
          <w:color w:val="auto"/>
          <w:szCs w:val="21"/>
          <w:highlight w:val="none"/>
          <w:u w:val="none"/>
        </w:rPr>
        <w:t>管理人</w:t>
      </w:r>
      <w:r>
        <w:rPr>
          <w:color w:val="auto"/>
          <w:szCs w:val="21"/>
          <w:highlight w:val="none"/>
          <w:u w:val="none"/>
        </w:rPr>
        <w:t>的划款指令不符合</w:t>
      </w:r>
      <w:r>
        <w:rPr>
          <w:rFonts w:hint="eastAsia"/>
          <w:color w:val="auto"/>
          <w:szCs w:val="21"/>
          <w:highlight w:val="none"/>
          <w:u w:val="none"/>
        </w:rPr>
        <w:t>相关</w:t>
      </w:r>
      <w:r>
        <w:rPr>
          <w:color w:val="auto"/>
          <w:szCs w:val="21"/>
          <w:highlight w:val="none"/>
          <w:u w:val="none"/>
        </w:rPr>
        <w:t>法律法规、监管规则、自律规则</w:t>
      </w:r>
      <w:r>
        <w:rPr>
          <w:rFonts w:hint="eastAsia"/>
          <w:color w:val="auto"/>
          <w:szCs w:val="21"/>
          <w:highlight w:val="none"/>
          <w:u w:val="none"/>
        </w:rPr>
        <w:t>或</w:t>
      </w:r>
      <w:r>
        <w:rPr>
          <w:color w:val="auto"/>
          <w:szCs w:val="21"/>
          <w:highlight w:val="none"/>
          <w:u w:val="none"/>
        </w:rPr>
        <w:t>本合同的要求的，有权拒绝</w:t>
      </w:r>
      <w:r>
        <w:rPr>
          <w:rFonts w:hint="eastAsia"/>
          <w:color w:val="auto"/>
          <w:szCs w:val="21"/>
          <w:highlight w:val="none"/>
          <w:u w:val="none"/>
        </w:rPr>
        <w:t>执行</w:t>
      </w:r>
      <w:r>
        <w:rPr>
          <w:color w:val="auto"/>
          <w:szCs w:val="21"/>
          <w:highlight w:val="none"/>
          <w:u w:val="none"/>
        </w:rPr>
        <w:t>，</w:t>
      </w:r>
      <w:r>
        <w:rPr>
          <w:rFonts w:hint="eastAsia"/>
          <w:color w:val="auto"/>
          <w:szCs w:val="21"/>
          <w:highlight w:val="none"/>
          <w:u w:val="none"/>
        </w:rPr>
        <w:t>并</w:t>
      </w:r>
      <w:r>
        <w:rPr>
          <w:color w:val="auto"/>
          <w:szCs w:val="21"/>
          <w:highlight w:val="none"/>
          <w:u w:val="none"/>
        </w:rPr>
        <w:t>要求</w:t>
      </w:r>
      <w:r>
        <w:rPr>
          <w:rFonts w:hint="eastAsia"/>
          <w:color w:val="auto"/>
          <w:szCs w:val="21"/>
          <w:highlight w:val="none"/>
          <w:u w:val="none"/>
        </w:rPr>
        <w:t>管理人</w:t>
      </w:r>
      <w:r>
        <w:rPr>
          <w:color w:val="auto"/>
          <w:szCs w:val="21"/>
          <w:highlight w:val="none"/>
          <w:u w:val="none"/>
        </w:rPr>
        <w:t>纠正</w:t>
      </w:r>
      <w:r>
        <w:rPr>
          <w:rFonts w:hint="eastAsia"/>
          <w:color w:val="auto"/>
          <w:szCs w:val="21"/>
          <w:highlight w:val="none"/>
          <w:u w:val="none"/>
        </w:rPr>
        <w:t>，管理人</w:t>
      </w:r>
      <w:r>
        <w:rPr>
          <w:color w:val="auto"/>
          <w:szCs w:val="21"/>
          <w:highlight w:val="none"/>
          <w:u w:val="none"/>
        </w:rPr>
        <w:t>应承担因此造成的</w:t>
      </w:r>
      <w:r>
        <w:rPr>
          <w:rFonts w:hint="eastAsia"/>
          <w:color w:val="auto"/>
          <w:szCs w:val="21"/>
          <w:highlight w:val="none"/>
          <w:u w:val="none"/>
        </w:rPr>
        <w:t>相关</w:t>
      </w:r>
      <w:r>
        <w:rPr>
          <w:color w:val="auto"/>
          <w:szCs w:val="21"/>
          <w:highlight w:val="none"/>
          <w:u w:val="none"/>
        </w:rPr>
        <w:t>法律</w:t>
      </w:r>
      <w:r>
        <w:rPr>
          <w:rFonts w:hint="eastAsia"/>
          <w:color w:val="auto"/>
          <w:szCs w:val="21"/>
          <w:highlight w:val="none"/>
          <w:u w:val="none"/>
        </w:rPr>
        <w:t>责任</w:t>
      </w:r>
      <w:r>
        <w:rPr>
          <w:color w:val="auto"/>
          <w:szCs w:val="21"/>
          <w:highlight w:val="none"/>
          <w:u w:val="none"/>
        </w:rPr>
        <w:t>。</w:t>
      </w:r>
    </w:p>
    <w:p>
      <w:pPr>
        <w:pStyle w:val="4"/>
        <w:snapToGrid/>
        <w:spacing w:beforeLines="100" w:afterLines="50"/>
        <w:rPr>
          <w:rFonts w:ascii="楷体" w:hAnsi="楷体" w:eastAsia="楷体"/>
          <w:color w:val="auto"/>
          <w:sz w:val="24"/>
          <w:highlight w:val="none"/>
          <w:u w:val="none"/>
        </w:rPr>
      </w:pPr>
      <w:bookmarkStart w:id="28" w:name="_Toc482974534"/>
      <w:r>
        <w:rPr>
          <w:rFonts w:ascii="楷体" w:hAnsi="楷体" w:eastAsia="楷体"/>
          <w:color w:val="auto"/>
          <w:sz w:val="24"/>
          <w:highlight w:val="none"/>
          <w:u w:val="none"/>
        </w:rPr>
        <w:t>第</w:t>
      </w:r>
      <w:r>
        <w:rPr>
          <w:rFonts w:hint="eastAsia" w:ascii="楷体" w:hAnsi="楷体" w:eastAsia="楷体"/>
          <w:color w:val="auto"/>
          <w:sz w:val="24"/>
          <w:highlight w:val="none"/>
          <w:u w:val="none"/>
        </w:rPr>
        <w:t>十</w:t>
      </w:r>
      <w:r>
        <w:rPr>
          <w:rFonts w:ascii="楷体" w:hAnsi="楷体" w:eastAsia="楷体"/>
          <w:color w:val="auto"/>
          <w:sz w:val="24"/>
          <w:highlight w:val="none"/>
          <w:u w:val="none"/>
        </w:rPr>
        <w:t>节当事人及权利义务</w:t>
      </w:r>
      <w:bookmarkEnd w:id="25"/>
      <w:bookmarkEnd w:id="28"/>
    </w:p>
    <w:bookmarkEnd w:id="26"/>
    <w:p>
      <w:pPr>
        <w:numPr>
          <w:ilvl w:val="0"/>
          <w:numId w:val="0"/>
        </w:numPr>
        <w:spacing w:line="360" w:lineRule="auto"/>
        <w:ind w:left="0" w:firstLine="420" w:firstLineChars="0"/>
        <w:rPr>
          <w:rFonts w:ascii="楷体" w:hAnsi="楷体" w:eastAsia="楷体"/>
          <w:color w:val="auto"/>
          <w:szCs w:val="21"/>
          <w:highlight w:val="none"/>
          <w:u w:val="none"/>
        </w:rPr>
      </w:pPr>
      <w:r>
        <w:rPr>
          <w:rFonts w:ascii="楷体" w:hAnsi="楷体" w:eastAsia="楷体"/>
          <w:color w:val="auto"/>
          <w:szCs w:val="21"/>
          <w:highlight w:val="none"/>
          <w:u w:val="none"/>
        </w:rPr>
        <w:t>(</w:t>
      </w:r>
      <w:r>
        <w:rPr>
          <w:rFonts w:hint="eastAsia" w:ascii="楷体" w:hAnsi="楷体" w:eastAsia="楷体"/>
          <w:color w:val="auto"/>
          <w:szCs w:val="21"/>
          <w:highlight w:val="none"/>
          <w:u w:val="none"/>
        </w:rPr>
        <w:t>一</w:t>
      </w:r>
      <w:r>
        <w:rPr>
          <w:rFonts w:ascii="楷体" w:hAnsi="楷体" w:eastAsia="楷体"/>
          <w:color w:val="auto"/>
          <w:szCs w:val="21"/>
          <w:highlight w:val="none"/>
          <w:u w:val="none"/>
        </w:rPr>
        <w:t>)投资者</w:t>
      </w:r>
    </w:p>
    <w:p>
      <w:pPr>
        <w:pStyle w:val="81"/>
        <w:rPr>
          <w:color w:val="auto"/>
          <w:highlight w:val="none"/>
          <w:u w:val="none"/>
        </w:rPr>
      </w:pPr>
      <w:r>
        <w:rPr>
          <w:color w:val="auto"/>
          <w:szCs w:val="21"/>
          <w:highlight w:val="none"/>
          <w:u w:val="none"/>
        </w:rPr>
        <w:t>投资者的详细情况见本合同签署页。</w:t>
      </w:r>
    </w:p>
    <w:p>
      <w:pPr>
        <w:pStyle w:val="81"/>
        <w:rPr>
          <w:color w:val="auto"/>
          <w:highlight w:val="none"/>
          <w:u w:val="none"/>
        </w:rPr>
      </w:pPr>
      <w:r>
        <w:rPr>
          <w:color w:val="auto"/>
          <w:szCs w:val="21"/>
          <w:highlight w:val="none"/>
          <w:u w:val="none"/>
        </w:rPr>
        <w:t>(二)管理人</w:t>
      </w:r>
    </w:p>
    <w:p>
      <w:pPr>
        <w:pStyle w:val="81"/>
        <w:rPr>
          <w:color w:val="auto"/>
          <w:highlight w:val="none"/>
          <w:u w:val="none"/>
        </w:rPr>
      </w:pPr>
      <w:r>
        <w:rPr>
          <w:color w:val="auto"/>
          <w:szCs w:val="21"/>
          <w:highlight w:val="none"/>
          <w:u w:val="none"/>
        </w:rPr>
        <w:t>名称：</w:t>
      </w:r>
      <w:r>
        <w:rPr>
          <w:rFonts w:hint="eastAsia"/>
          <w:color w:val="auto"/>
          <w:szCs w:val="21"/>
          <w:highlight w:val="none"/>
          <w:u w:val="none"/>
        </w:rPr>
        <w:t>广东睿璞投资管理有限公司</w:t>
      </w:r>
    </w:p>
    <w:p>
      <w:pPr>
        <w:pStyle w:val="81"/>
        <w:rPr>
          <w:color w:val="auto"/>
          <w:highlight w:val="none"/>
          <w:u w:val="none"/>
        </w:rPr>
      </w:pPr>
      <w:r>
        <w:rPr>
          <w:rFonts w:hint="eastAsia"/>
          <w:color w:val="auto"/>
          <w:szCs w:val="21"/>
          <w:highlight w:val="none"/>
          <w:u w:val="none"/>
        </w:rPr>
        <w:t>住所：</w:t>
      </w:r>
      <w:r>
        <w:rPr>
          <w:color w:val="auto"/>
          <w:szCs w:val="21"/>
          <w:highlight w:val="none"/>
          <w:u w:val="none"/>
        </w:rPr>
        <w:t xml:space="preserve"> </w:t>
      </w:r>
      <w:r>
        <w:rPr>
          <w:rFonts w:hint="eastAsia"/>
          <w:color w:val="auto"/>
          <w:szCs w:val="21"/>
          <w:highlight w:val="none"/>
          <w:u w:val="none"/>
        </w:rPr>
        <w:t>广州市天河区黄埔大道西</w:t>
      </w:r>
      <w:r>
        <w:rPr>
          <w:color w:val="auto"/>
          <w:szCs w:val="21"/>
          <w:highlight w:val="none"/>
          <w:u w:val="none"/>
        </w:rPr>
        <w:t>76号富</w:t>
      </w:r>
      <w:r>
        <w:rPr>
          <w:rFonts w:hint="eastAsia"/>
          <w:color w:val="auto"/>
          <w:szCs w:val="21"/>
          <w:highlight w:val="none"/>
          <w:u w:val="none"/>
        </w:rPr>
        <w:t>力盈隆广场</w:t>
      </w:r>
      <w:r>
        <w:rPr>
          <w:color w:val="auto"/>
          <w:szCs w:val="21"/>
          <w:highlight w:val="none"/>
          <w:u w:val="none"/>
        </w:rPr>
        <w:t>304室</w:t>
      </w:r>
    </w:p>
    <w:p>
      <w:pPr>
        <w:pStyle w:val="81"/>
        <w:rPr>
          <w:color w:val="auto"/>
          <w:highlight w:val="none"/>
          <w:u w:val="none"/>
        </w:rPr>
      </w:pPr>
      <w:r>
        <w:rPr>
          <w:rFonts w:hint="eastAsia"/>
          <w:color w:val="auto"/>
          <w:szCs w:val="21"/>
          <w:highlight w:val="none"/>
          <w:u w:val="none"/>
        </w:rPr>
        <w:t>法定代表人：蔡海洪</w:t>
      </w:r>
    </w:p>
    <w:p>
      <w:pPr>
        <w:pStyle w:val="81"/>
        <w:rPr>
          <w:color w:val="auto"/>
          <w:highlight w:val="none"/>
          <w:u w:val="none"/>
        </w:rPr>
      </w:pPr>
      <w:r>
        <w:rPr>
          <w:rFonts w:hint="eastAsia"/>
          <w:color w:val="auto"/>
          <w:szCs w:val="21"/>
          <w:highlight w:val="none"/>
          <w:u w:val="none"/>
        </w:rPr>
        <w:t>通讯地址：</w:t>
      </w:r>
      <w:r>
        <w:rPr>
          <w:color w:val="auto"/>
          <w:szCs w:val="21"/>
          <w:highlight w:val="none"/>
          <w:u w:val="none"/>
        </w:rPr>
        <w:t xml:space="preserve"> </w:t>
      </w:r>
      <w:r>
        <w:rPr>
          <w:rFonts w:hint="eastAsia"/>
          <w:color w:val="auto"/>
          <w:szCs w:val="21"/>
          <w:highlight w:val="none"/>
          <w:u w:val="none"/>
        </w:rPr>
        <w:t>广州市天河区黄埔大道西</w:t>
      </w:r>
      <w:r>
        <w:rPr>
          <w:color w:val="auto"/>
          <w:szCs w:val="21"/>
          <w:highlight w:val="none"/>
          <w:u w:val="none"/>
        </w:rPr>
        <w:t>76号富</w:t>
      </w:r>
      <w:r>
        <w:rPr>
          <w:rFonts w:hint="eastAsia"/>
          <w:color w:val="auto"/>
          <w:szCs w:val="21"/>
          <w:highlight w:val="none"/>
          <w:u w:val="none"/>
        </w:rPr>
        <w:t>力盈隆广场</w:t>
      </w:r>
      <w:r>
        <w:rPr>
          <w:color w:val="auto"/>
          <w:szCs w:val="21"/>
          <w:highlight w:val="none"/>
          <w:u w:val="none"/>
        </w:rPr>
        <w:t>304室</w:t>
      </w:r>
    </w:p>
    <w:p>
      <w:pPr>
        <w:pStyle w:val="81"/>
        <w:rPr>
          <w:color w:val="auto"/>
          <w:highlight w:val="none"/>
          <w:u w:val="none"/>
        </w:rPr>
      </w:pPr>
      <w:r>
        <w:rPr>
          <w:rFonts w:hint="eastAsia"/>
          <w:color w:val="auto"/>
          <w:szCs w:val="21"/>
          <w:highlight w:val="none"/>
          <w:u w:val="none"/>
        </w:rPr>
        <w:t>邮政编码：</w:t>
      </w:r>
      <w:r>
        <w:rPr>
          <w:color w:val="auto"/>
          <w:szCs w:val="21"/>
          <w:highlight w:val="none"/>
          <w:u w:val="none"/>
        </w:rPr>
        <w:t xml:space="preserve">510627 </w:t>
      </w:r>
    </w:p>
    <w:p>
      <w:pPr>
        <w:pStyle w:val="81"/>
        <w:rPr>
          <w:color w:val="auto"/>
          <w:highlight w:val="none"/>
          <w:u w:val="none"/>
        </w:rPr>
      </w:pPr>
      <w:r>
        <w:rPr>
          <w:rFonts w:hint="eastAsia"/>
          <w:color w:val="auto"/>
          <w:szCs w:val="21"/>
          <w:highlight w:val="none"/>
          <w:u w:val="none"/>
        </w:rPr>
        <w:t>联系人：康荔忠</w:t>
      </w:r>
    </w:p>
    <w:p>
      <w:pPr>
        <w:pStyle w:val="81"/>
        <w:rPr>
          <w:color w:val="auto"/>
          <w:highlight w:val="none"/>
          <w:u w:val="none"/>
        </w:rPr>
      </w:pPr>
      <w:r>
        <w:rPr>
          <w:rFonts w:hint="eastAsia"/>
          <w:color w:val="auto"/>
          <w:szCs w:val="21"/>
          <w:highlight w:val="none"/>
          <w:u w:val="none"/>
        </w:rPr>
        <w:t>联系电话：</w:t>
      </w:r>
      <w:r>
        <w:rPr>
          <w:color w:val="auto"/>
          <w:szCs w:val="21"/>
          <w:highlight w:val="none"/>
          <w:u w:val="none"/>
        </w:rPr>
        <w:t>020-38619985</w:t>
      </w:r>
    </w:p>
    <w:p>
      <w:pPr>
        <w:pStyle w:val="81"/>
        <w:rPr>
          <w:color w:val="auto"/>
          <w:highlight w:val="none"/>
          <w:u w:val="none"/>
        </w:rPr>
      </w:pPr>
      <w:r>
        <w:rPr>
          <w:rFonts w:hint="eastAsia"/>
          <w:color w:val="auto"/>
          <w:szCs w:val="21"/>
          <w:highlight w:val="none"/>
          <w:u w:val="none"/>
        </w:rPr>
        <w:t>传真：</w:t>
      </w:r>
      <w:r>
        <w:rPr>
          <w:color w:val="auto"/>
          <w:szCs w:val="21"/>
          <w:highlight w:val="none"/>
          <w:u w:val="none"/>
        </w:rPr>
        <w:t xml:space="preserve">020-38619985 </w:t>
      </w:r>
    </w:p>
    <w:p>
      <w:pPr>
        <w:pStyle w:val="81"/>
        <w:rPr>
          <w:color w:val="auto"/>
          <w:highlight w:val="none"/>
          <w:u w:val="none"/>
        </w:rPr>
      </w:pPr>
      <w:r>
        <w:rPr>
          <w:color w:val="auto"/>
          <w:szCs w:val="21"/>
          <w:highlight w:val="none"/>
          <w:u w:val="none"/>
        </w:rPr>
        <w:t>(三)托管人</w:t>
      </w:r>
    </w:p>
    <w:p>
      <w:pPr>
        <w:pStyle w:val="81"/>
        <w:rPr>
          <w:color w:val="auto"/>
          <w:highlight w:val="none"/>
          <w:u w:val="none"/>
        </w:rPr>
      </w:pPr>
      <w:r>
        <w:rPr>
          <w:rFonts w:hint="eastAsia"/>
          <w:color w:val="auto"/>
          <w:szCs w:val="21"/>
          <w:highlight w:val="none"/>
          <w:u w:val="none"/>
        </w:rPr>
        <w:t>名称：国信证券股份有限公司</w:t>
      </w:r>
    </w:p>
    <w:p>
      <w:pPr>
        <w:pStyle w:val="81"/>
        <w:rPr>
          <w:color w:val="auto"/>
          <w:highlight w:val="none"/>
          <w:u w:val="none"/>
        </w:rPr>
      </w:pPr>
      <w:r>
        <w:rPr>
          <w:rFonts w:hint="eastAsia"/>
          <w:color w:val="auto"/>
          <w:szCs w:val="21"/>
          <w:highlight w:val="none"/>
          <w:u w:val="none"/>
        </w:rPr>
        <w:t>办公地址：深圳市南山区学府路</w:t>
      </w:r>
      <w:r>
        <w:rPr>
          <w:color w:val="auto"/>
          <w:szCs w:val="21"/>
          <w:highlight w:val="none"/>
          <w:u w:val="none"/>
        </w:rPr>
        <w:t>85号软件产业基地1栋A座22楼</w:t>
      </w:r>
    </w:p>
    <w:p>
      <w:pPr>
        <w:spacing w:line="360" w:lineRule="auto"/>
        <w:ind w:firstLine="420" w:firstLineChars="200"/>
        <w:rPr>
          <w:rFonts w:ascii="楷体" w:hAnsi="楷体" w:eastAsia="楷体"/>
          <w:color w:val="auto"/>
          <w:szCs w:val="21"/>
          <w:highlight w:val="none"/>
          <w:u w:val="none"/>
        </w:rPr>
      </w:pPr>
      <w:r>
        <w:rPr>
          <w:rFonts w:hint="eastAsia" w:ascii="楷体" w:hAnsi="楷体" w:eastAsia="楷体"/>
          <w:color w:val="auto"/>
          <w:szCs w:val="21"/>
          <w:highlight w:val="none"/>
          <w:u w:val="none"/>
        </w:rPr>
        <w:t>邮政编码：</w:t>
      </w:r>
      <w:r>
        <w:rPr>
          <w:rFonts w:ascii="楷体" w:hAnsi="楷体" w:eastAsia="楷体"/>
          <w:color w:val="auto"/>
          <w:szCs w:val="21"/>
          <w:highlight w:val="none"/>
          <w:u w:val="none"/>
        </w:rPr>
        <w:t>518000</w:t>
      </w:r>
    </w:p>
    <w:p>
      <w:pPr>
        <w:pStyle w:val="81"/>
        <w:rPr>
          <w:color w:val="auto"/>
          <w:highlight w:val="none"/>
          <w:u w:val="none"/>
        </w:rPr>
      </w:pPr>
      <w:r>
        <w:rPr>
          <w:rFonts w:hint="eastAsia"/>
          <w:color w:val="auto"/>
          <w:szCs w:val="21"/>
          <w:highlight w:val="none"/>
          <w:u w:val="none"/>
        </w:rPr>
        <w:t>注册资本：</w:t>
      </w:r>
      <w:r>
        <w:rPr>
          <w:color w:val="auto"/>
          <w:szCs w:val="21"/>
          <w:highlight w:val="none"/>
          <w:u w:val="none"/>
        </w:rPr>
        <w:t>82亿元</w:t>
      </w:r>
    </w:p>
    <w:p>
      <w:pPr>
        <w:pStyle w:val="81"/>
        <w:rPr>
          <w:color w:val="auto"/>
          <w:highlight w:val="none"/>
          <w:u w:val="none"/>
        </w:rPr>
      </w:pPr>
      <w:r>
        <w:rPr>
          <w:rFonts w:hint="eastAsia"/>
          <w:color w:val="auto"/>
          <w:szCs w:val="21"/>
          <w:highlight w:val="none"/>
          <w:u w:val="none"/>
        </w:rPr>
        <w:t>存续期间：持续经营</w:t>
      </w:r>
    </w:p>
    <w:p>
      <w:pPr>
        <w:pStyle w:val="81"/>
        <w:rPr>
          <w:color w:val="auto"/>
          <w:highlight w:val="none"/>
          <w:u w:val="none"/>
        </w:rPr>
      </w:pPr>
      <w:r>
        <w:rPr>
          <w:rFonts w:hint="eastAsia"/>
          <w:color w:val="auto"/>
          <w:szCs w:val="21"/>
          <w:highlight w:val="none"/>
          <w:u w:val="none"/>
        </w:rPr>
        <w:t>法定代表人：何如</w:t>
      </w:r>
    </w:p>
    <w:p>
      <w:pPr>
        <w:pStyle w:val="81"/>
        <w:rPr>
          <w:color w:val="auto"/>
          <w:highlight w:val="none"/>
          <w:u w:val="none"/>
        </w:rPr>
      </w:pPr>
      <w:r>
        <w:rPr>
          <w:rFonts w:hint="eastAsia"/>
          <w:color w:val="auto"/>
          <w:szCs w:val="21"/>
          <w:highlight w:val="none"/>
          <w:u w:val="none"/>
        </w:rPr>
        <w:t>电话：</w:t>
      </w:r>
      <w:r>
        <w:rPr>
          <w:color w:val="auto"/>
          <w:szCs w:val="21"/>
          <w:highlight w:val="none"/>
          <w:u w:val="none"/>
        </w:rPr>
        <w:t>0755-22940703</w:t>
      </w:r>
    </w:p>
    <w:p>
      <w:pPr>
        <w:pStyle w:val="81"/>
        <w:rPr>
          <w:color w:val="auto"/>
          <w:highlight w:val="none"/>
          <w:u w:val="none"/>
        </w:rPr>
      </w:pPr>
      <w:r>
        <w:rPr>
          <w:rFonts w:hint="eastAsia"/>
          <w:color w:val="auto"/>
          <w:szCs w:val="21"/>
          <w:highlight w:val="none"/>
          <w:u w:val="none"/>
        </w:rPr>
        <w:t>网站：</w:t>
      </w:r>
      <w:r>
        <w:rPr>
          <w:color w:val="auto"/>
          <w:szCs w:val="21"/>
          <w:highlight w:val="none"/>
          <w:u w:val="none"/>
        </w:rPr>
        <w:t>www.guosen.com.cn</w:t>
      </w:r>
    </w:p>
    <w:p>
      <w:pPr>
        <w:pStyle w:val="81"/>
        <w:rPr>
          <w:color w:val="auto"/>
          <w:highlight w:val="none"/>
          <w:u w:val="none"/>
        </w:rPr>
      </w:pPr>
      <w:r>
        <w:rPr>
          <w:color w:val="auto"/>
          <w:szCs w:val="21"/>
          <w:highlight w:val="none"/>
          <w:u w:val="none"/>
        </w:rPr>
        <w:t>(四)管理人的权利与义务</w:t>
      </w:r>
    </w:p>
    <w:p>
      <w:pPr>
        <w:pStyle w:val="81"/>
        <w:rPr>
          <w:color w:val="auto"/>
          <w:highlight w:val="none"/>
          <w:u w:val="none"/>
        </w:rPr>
      </w:pPr>
      <w:r>
        <w:rPr>
          <w:color w:val="auto"/>
          <w:szCs w:val="21"/>
          <w:highlight w:val="none"/>
          <w:u w:val="none"/>
        </w:rPr>
        <w:t>1.管理人的权利</w:t>
      </w:r>
    </w:p>
    <w:p>
      <w:pPr>
        <w:pStyle w:val="81"/>
        <w:rPr>
          <w:color w:val="auto"/>
          <w:highlight w:val="none"/>
          <w:u w:val="none"/>
        </w:rPr>
      </w:pPr>
      <w:r>
        <w:rPr>
          <w:rFonts w:hint="eastAsia"/>
          <w:color w:val="auto"/>
          <w:szCs w:val="21"/>
          <w:highlight w:val="none"/>
          <w:u w:val="none"/>
        </w:rPr>
        <w:t>（</w:t>
      </w:r>
      <w:r>
        <w:rPr>
          <w:color w:val="auto"/>
          <w:szCs w:val="21"/>
          <w:highlight w:val="none"/>
          <w:u w:val="none"/>
        </w:rPr>
        <w:t>1）按照基金合同约定，独立管理和运用基金财产</w:t>
      </w:r>
      <w:r>
        <w:rPr>
          <w:rFonts w:hint="eastAsia"/>
          <w:color w:val="auto"/>
          <w:szCs w:val="21"/>
          <w:highlight w:val="none"/>
          <w:u w:val="none"/>
        </w:rPr>
        <w:t>，不受基金份额</w:t>
      </w:r>
      <w:r>
        <w:rPr>
          <w:color w:val="auto"/>
          <w:szCs w:val="21"/>
          <w:highlight w:val="none"/>
          <w:u w:val="none"/>
        </w:rPr>
        <w:t>持有人</w:t>
      </w:r>
      <w:r>
        <w:rPr>
          <w:rFonts w:hint="eastAsia"/>
          <w:color w:val="auto"/>
          <w:szCs w:val="21"/>
          <w:highlight w:val="none"/>
          <w:u w:val="none"/>
        </w:rPr>
        <w:t>（不包括</w:t>
      </w:r>
      <w:r>
        <w:rPr>
          <w:color w:val="auto"/>
          <w:szCs w:val="21"/>
          <w:highlight w:val="none"/>
          <w:u w:val="none"/>
        </w:rPr>
        <w:t>认购本基金份额的投资顾问</w:t>
      </w:r>
      <w:r>
        <w:rPr>
          <w:rFonts w:hint="eastAsia"/>
          <w:color w:val="auto"/>
          <w:szCs w:val="21"/>
          <w:highlight w:val="none"/>
          <w:u w:val="none"/>
        </w:rPr>
        <w:t>，</w:t>
      </w:r>
      <w:r>
        <w:rPr>
          <w:color w:val="auto"/>
          <w:szCs w:val="21"/>
          <w:highlight w:val="none"/>
          <w:u w:val="none"/>
        </w:rPr>
        <w:t>如有</w:t>
      </w:r>
      <w:r>
        <w:rPr>
          <w:rFonts w:hint="eastAsia"/>
          <w:color w:val="auto"/>
          <w:szCs w:val="21"/>
          <w:highlight w:val="none"/>
          <w:u w:val="none"/>
        </w:rPr>
        <w:t>）的</w:t>
      </w:r>
      <w:r>
        <w:rPr>
          <w:color w:val="auto"/>
          <w:szCs w:val="21"/>
          <w:highlight w:val="none"/>
          <w:u w:val="none"/>
        </w:rPr>
        <w:t>直接或间接</w:t>
      </w:r>
      <w:r>
        <w:rPr>
          <w:rFonts w:hint="eastAsia"/>
          <w:color w:val="auto"/>
          <w:szCs w:val="21"/>
          <w:highlight w:val="none"/>
          <w:u w:val="none"/>
        </w:rPr>
        <w:t>（包括</w:t>
      </w:r>
      <w:r>
        <w:rPr>
          <w:color w:val="auto"/>
          <w:szCs w:val="21"/>
          <w:highlight w:val="none"/>
          <w:u w:val="none"/>
        </w:rPr>
        <w:t>但不限于</w:t>
      </w:r>
      <w:r>
        <w:rPr>
          <w:rFonts w:hint="eastAsia"/>
          <w:color w:val="auto"/>
          <w:szCs w:val="21"/>
          <w:highlight w:val="none"/>
          <w:u w:val="none"/>
        </w:rPr>
        <w:t>发出</w:t>
      </w:r>
      <w:r>
        <w:rPr>
          <w:color w:val="auto"/>
          <w:szCs w:val="21"/>
          <w:highlight w:val="none"/>
          <w:u w:val="none"/>
        </w:rPr>
        <w:t>投资建议或投资指令等方式</w:t>
      </w:r>
      <w:r>
        <w:rPr>
          <w:rFonts w:hint="eastAsia"/>
          <w:color w:val="auto"/>
          <w:szCs w:val="21"/>
          <w:highlight w:val="none"/>
          <w:u w:val="none"/>
        </w:rPr>
        <w:t>）</w:t>
      </w:r>
      <w:r>
        <w:rPr>
          <w:color w:val="auto"/>
          <w:szCs w:val="21"/>
          <w:highlight w:val="none"/>
          <w:u w:val="none"/>
        </w:rPr>
        <w:t>影响；</w:t>
      </w:r>
    </w:p>
    <w:p>
      <w:pPr>
        <w:pStyle w:val="81"/>
        <w:rPr>
          <w:color w:val="auto"/>
          <w:szCs w:val="21"/>
          <w:highlight w:val="none"/>
          <w:u w:val="none"/>
        </w:rPr>
      </w:pPr>
      <w:r>
        <w:rPr>
          <w:rFonts w:hint="eastAsia"/>
          <w:color w:val="auto"/>
          <w:szCs w:val="21"/>
          <w:highlight w:val="none"/>
          <w:u w:val="none"/>
        </w:rPr>
        <w:t>（</w:t>
      </w:r>
      <w:r>
        <w:rPr>
          <w:color w:val="auto"/>
          <w:szCs w:val="21"/>
          <w:highlight w:val="none"/>
          <w:u w:val="none"/>
        </w:rPr>
        <w:t>2）按照基金合同约定，及时、足额获得管理费及业绩报酬（如有）；</w:t>
      </w:r>
    </w:p>
    <w:p>
      <w:pPr>
        <w:pStyle w:val="81"/>
        <w:rPr>
          <w:color w:val="auto"/>
          <w:szCs w:val="21"/>
          <w:highlight w:val="none"/>
          <w:u w:val="none"/>
        </w:rPr>
      </w:pPr>
      <w:r>
        <w:rPr>
          <w:rFonts w:hint="eastAsia"/>
          <w:color w:val="auto"/>
          <w:szCs w:val="21"/>
          <w:highlight w:val="none"/>
          <w:u w:val="none"/>
        </w:rPr>
        <w:t>（</w:t>
      </w:r>
      <w:r>
        <w:rPr>
          <w:color w:val="auto"/>
          <w:szCs w:val="21"/>
          <w:highlight w:val="none"/>
          <w:u w:val="none"/>
        </w:rPr>
        <w:t>3）按照有关规定和基金合同约定行使因基金财产投资所产生的权利；</w:t>
      </w:r>
    </w:p>
    <w:p>
      <w:pPr>
        <w:pStyle w:val="81"/>
        <w:rPr>
          <w:color w:val="auto"/>
          <w:szCs w:val="21"/>
          <w:highlight w:val="none"/>
          <w:u w:val="none"/>
        </w:rPr>
      </w:pPr>
      <w:r>
        <w:rPr>
          <w:rFonts w:hint="eastAsia"/>
          <w:color w:val="auto"/>
          <w:szCs w:val="21"/>
          <w:highlight w:val="none"/>
          <w:u w:val="none"/>
        </w:rPr>
        <w:t>（</w:t>
      </w:r>
      <w:r>
        <w:rPr>
          <w:color w:val="auto"/>
          <w:szCs w:val="21"/>
          <w:highlight w:val="none"/>
          <w:u w:val="none"/>
        </w:rPr>
        <w:t>4）根据基金合同及其他有关规定，监督基金托管人</w:t>
      </w:r>
      <w:r>
        <w:rPr>
          <w:rFonts w:hint="eastAsia"/>
          <w:color w:val="auto"/>
          <w:szCs w:val="21"/>
          <w:highlight w:val="none"/>
          <w:u w:val="none"/>
        </w:rPr>
        <w:t>，</w:t>
      </w:r>
      <w:r>
        <w:rPr>
          <w:color w:val="auto"/>
          <w:szCs w:val="21"/>
          <w:highlight w:val="none"/>
          <w:u w:val="none"/>
        </w:rPr>
        <w:t>对于基金托管人违反基金合同或有关法律法规规定、对基金财产及其他当事人的利益造成重大损失的，应当及时采取措施制止；</w:t>
      </w:r>
    </w:p>
    <w:p>
      <w:pPr>
        <w:pStyle w:val="81"/>
        <w:rPr>
          <w:color w:val="auto"/>
          <w:highlight w:val="none"/>
          <w:u w:val="none"/>
        </w:rPr>
      </w:pPr>
      <w:r>
        <w:rPr>
          <w:rFonts w:hint="eastAsia"/>
          <w:color w:val="auto"/>
          <w:szCs w:val="21"/>
          <w:highlight w:val="none"/>
          <w:u w:val="none"/>
        </w:rPr>
        <w:t>（</w:t>
      </w:r>
      <w:r>
        <w:rPr>
          <w:color w:val="auto"/>
          <w:szCs w:val="21"/>
          <w:highlight w:val="none"/>
          <w:u w:val="none"/>
        </w:rPr>
        <w:t>5）基金管理人为保护投资者权益，可以在法律法规</w:t>
      </w:r>
      <w:r>
        <w:rPr>
          <w:rFonts w:hint="eastAsia"/>
          <w:color w:val="auto"/>
          <w:szCs w:val="21"/>
          <w:highlight w:val="none"/>
          <w:u w:val="none"/>
        </w:rPr>
        <w:t>、监管规则</w:t>
      </w:r>
      <w:r>
        <w:rPr>
          <w:color w:val="auto"/>
          <w:szCs w:val="21"/>
          <w:highlight w:val="none"/>
          <w:u w:val="none"/>
        </w:rPr>
        <w:t>规定范围内，根据市场情况对本基金的认购、申购业务规则（包括但不限于基金总规模、单个投资者首次认购、申购金额、每次申购金额及持有的本基金总金额限制等</w:t>
      </w:r>
      <w:r>
        <w:rPr>
          <w:rFonts w:hint="eastAsia"/>
          <w:color w:val="auto"/>
          <w:szCs w:val="21"/>
          <w:highlight w:val="none"/>
          <w:u w:val="none"/>
        </w:rPr>
        <w:t>，但不包括上调认购费、申购费费率、调整开放日</w:t>
      </w:r>
      <w:r>
        <w:rPr>
          <w:color w:val="auto"/>
          <w:szCs w:val="21"/>
          <w:highlight w:val="none"/>
          <w:u w:val="none"/>
        </w:rPr>
        <w:t>）进行调整；</w:t>
      </w:r>
    </w:p>
    <w:p>
      <w:pPr>
        <w:pStyle w:val="81"/>
        <w:rPr>
          <w:color w:val="auto"/>
          <w:highlight w:val="none"/>
          <w:u w:val="none"/>
        </w:rPr>
      </w:pPr>
      <w:r>
        <w:rPr>
          <w:rFonts w:hint="eastAsia"/>
          <w:color w:val="auto"/>
          <w:szCs w:val="21"/>
          <w:highlight w:val="none"/>
          <w:u w:val="none"/>
        </w:rPr>
        <w:t>（</w:t>
      </w:r>
      <w:r>
        <w:rPr>
          <w:color w:val="auto"/>
          <w:szCs w:val="21"/>
          <w:highlight w:val="none"/>
          <w:u w:val="none"/>
        </w:rPr>
        <w:t>6）</w:t>
      </w:r>
      <w:r>
        <w:rPr>
          <w:rFonts w:hint="eastAsia"/>
          <w:color w:val="auto"/>
          <w:szCs w:val="21"/>
          <w:highlight w:val="none"/>
          <w:u w:val="none"/>
        </w:rPr>
        <w:t>以私募基金管理人的名义，代表私募基金与其他第三方签署基金投资相关协议文件、行使诉讼权利或者实施其他法律行为；</w:t>
      </w:r>
    </w:p>
    <w:p>
      <w:pPr>
        <w:pStyle w:val="81"/>
        <w:rPr>
          <w:color w:val="auto"/>
          <w:highlight w:val="none"/>
          <w:u w:val="none"/>
        </w:rPr>
      </w:pPr>
      <w:r>
        <w:rPr>
          <w:rFonts w:hint="eastAsia"/>
          <w:color w:val="auto"/>
          <w:szCs w:val="21"/>
          <w:highlight w:val="none"/>
          <w:u w:val="none"/>
        </w:rPr>
        <w:t>（</w:t>
      </w:r>
      <w:r>
        <w:rPr>
          <w:color w:val="auto"/>
          <w:szCs w:val="21"/>
          <w:highlight w:val="none"/>
          <w:u w:val="none"/>
        </w:rPr>
        <w:t>7）法律法规、中国证监会及基金业协会规定的和基金合同约定的其他权利。</w:t>
      </w:r>
    </w:p>
    <w:p>
      <w:pPr>
        <w:pStyle w:val="81"/>
        <w:rPr>
          <w:color w:val="auto"/>
          <w:highlight w:val="none"/>
          <w:u w:val="none"/>
        </w:rPr>
      </w:pPr>
      <w:r>
        <w:rPr>
          <w:color w:val="auto"/>
          <w:szCs w:val="21"/>
          <w:highlight w:val="none"/>
          <w:u w:val="none"/>
        </w:rPr>
        <w:t>2.管理人的义务</w:t>
      </w:r>
    </w:p>
    <w:p>
      <w:pPr>
        <w:pStyle w:val="81"/>
        <w:rPr>
          <w:color w:val="auto"/>
          <w:highlight w:val="none"/>
          <w:u w:val="none"/>
        </w:rPr>
      </w:pPr>
      <w:r>
        <w:rPr>
          <w:rFonts w:hint="eastAsia"/>
          <w:color w:val="auto"/>
          <w:szCs w:val="21"/>
          <w:highlight w:val="none"/>
          <w:u w:val="none"/>
        </w:rPr>
        <w:t>（</w:t>
      </w:r>
      <w:r>
        <w:rPr>
          <w:color w:val="auto"/>
          <w:szCs w:val="21"/>
          <w:highlight w:val="none"/>
          <w:u w:val="none"/>
        </w:rPr>
        <w:t>1）</w:t>
      </w:r>
      <w:r>
        <w:rPr>
          <w:rFonts w:hint="eastAsia"/>
          <w:color w:val="auto"/>
          <w:szCs w:val="21"/>
          <w:highlight w:val="none"/>
          <w:u w:val="none"/>
        </w:rPr>
        <w:t>应当确保本基金的合法合规性（包括但不限于募集、设立、投资运作、收益分配、终止清算等环节的合法合规性）；</w:t>
      </w:r>
    </w:p>
    <w:p>
      <w:pPr>
        <w:pStyle w:val="81"/>
        <w:rPr>
          <w:color w:val="auto"/>
          <w:highlight w:val="none"/>
          <w:u w:val="none"/>
        </w:rPr>
      </w:pPr>
      <w:r>
        <w:rPr>
          <w:rFonts w:hint="eastAsia"/>
          <w:color w:val="auto"/>
          <w:szCs w:val="21"/>
          <w:highlight w:val="none"/>
          <w:u w:val="none"/>
        </w:rPr>
        <w:t>（</w:t>
      </w:r>
      <w:r>
        <w:rPr>
          <w:color w:val="auto"/>
          <w:szCs w:val="21"/>
          <w:highlight w:val="none"/>
          <w:u w:val="none"/>
        </w:rPr>
        <w:t>2）应当履行私募基金管理人登记和私募基金备案手续；</w:t>
      </w:r>
    </w:p>
    <w:p>
      <w:pPr>
        <w:pStyle w:val="81"/>
        <w:rPr>
          <w:color w:val="auto"/>
          <w:highlight w:val="none"/>
          <w:u w:val="none"/>
        </w:rPr>
      </w:pPr>
      <w:r>
        <w:rPr>
          <w:rFonts w:hint="eastAsia"/>
          <w:color w:val="auto"/>
          <w:szCs w:val="21"/>
          <w:highlight w:val="none"/>
          <w:u w:val="none"/>
        </w:rPr>
        <w:t>（</w:t>
      </w:r>
      <w:r>
        <w:rPr>
          <w:color w:val="auto"/>
          <w:szCs w:val="21"/>
          <w:highlight w:val="none"/>
          <w:u w:val="none"/>
        </w:rPr>
        <w:t>3）按照诚实信用、勤勉尽责的原则履行受托人义务，管理和运用基金财产；</w:t>
      </w:r>
    </w:p>
    <w:p>
      <w:pPr>
        <w:pStyle w:val="81"/>
        <w:rPr>
          <w:color w:val="auto"/>
          <w:highlight w:val="none"/>
          <w:u w:val="none"/>
        </w:rPr>
      </w:pPr>
      <w:r>
        <w:rPr>
          <w:rFonts w:hint="eastAsia"/>
          <w:color w:val="auto"/>
          <w:szCs w:val="21"/>
          <w:highlight w:val="none"/>
          <w:u w:val="none"/>
        </w:rPr>
        <w:t>（</w:t>
      </w:r>
      <w:r>
        <w:rPr>
          <w:color w:val="auto"/>
          <w:szCs w:val="21"/>
          <w:highlight w:val="none"/>
          <w:u w:val="none"/>
        </w:rPr>
        <w:t>4）制作调查问卷，对投资者的风险识别能力和风险承担能力进行评估，向符合法律法规规定的合格投资者非公开募集资金；</w:t>
      </w:r>
    </w:p>
    <w:p>
      <w:pPr>
        <w:pStyle w:val="81"/>
        <w:rPr>
          <w:color w:val="auto"/>
          <w:highlight w:val="none"/>
          <w:u w:val="none"/>
        </w:rPr>
      </w:pPr>
      <w:r>
        <w:rPr>
          <w:rFonts w:hint="eastAsia"/>
          <w:color w:val="auto"/>
          <w:szCs w:val="21"/>
          <w:highlight w:val="none"/>
          <w:u w:val="none"/>
        </w:rPr>
        <w:t>（</w:t>
      </w:r>
      <w:r>
        <w:rPr>
          <w:color w:val="auto"/>
          <w:szCs w:val="21"/>
          <w:highlight w:val="none"/>
          <w:u w:val="none"/>
        </w:rPr>
        <w:t>5）制作风险揭示书，向投资者充分揭示相关风险；</w:t>
      </w:r>
    </w:p>
    <w:p>
      <w:pPr>
        <w:pStyle w:val="81"/>
        <w:rPr>
          <w:color w:val="auto"/>
          <w:highlight w:val="none"/>
          <w:u w:val="none"/>
        </w:rPr>
      </w:pPr>
      <w:r>
        <w:rPr>
          <w:rFonts w:hint="eastAsia"/>
          <w:color w:val="auto"/>
          <w:szCs w:val="21"/>
          <w:highlight w:val="none"/>
          <w:u w:val="none"/>
        </w:rPr>
        <w:t>（</w:t>
      </w:r>
      <w:r>
        <w:rPr>
          <w:color w:val="auto"/>
          <w:szCs w:val="21"/>
          <w:highlight w:val="none"/>
          <w:u w:val="none"/>
        </w:rPr>
        <w:t>6）配备足够的具有专业能力的人员进行投资分析、决策，以专业化的经营方式管理和运作基金财产；</w:t>
      </w:r>
    </w:p>
    <w:p>
      <w:pPr>
        <w:pStyle w:val="81"/>
        <w:rPr>
          <w:color w:val="auto"/>
          <w:highlight w:val="none"/>
          <w:u w:val="none"/>
        </w:rPr>
      </w:pPr>
      <w:r>
        <w:rPr>
          <w:rFonts w:hint="eastAsia"/>
          <w:color w:val="auto"/>
          <w:szCs w:val="21"/>
          <w:highlight w:val="none"/>
          <w:u w:val="none"/>
        </w:rPr>
        <w:t>（</w:t>
      </w:r>
      <w:r>
        <w:rPr>
          <w:color w:val="auto"/>
          <w:szCs w:val="21"/>
          <w:highlight w:val="none"/>
          <w:u w:val="none"/>
        </w:rPr>
        <w:t>7）建立健全内部制度，保证所管理的私募基金财产与其管理的其他基金财产和私募基金管理人的固有财产相互独立，对所管理的不同财产分别管理，分别记账、分别投资；</w:t>
      </w:r>
    </w:p>
    <w:p>
      <w:pPr>
        <w:pStyle w:val="81"/>
        <w:rPr>
          <w:color w:val="auto"/>
          <w:highlight w:val="none"/>
          <w:u w:val="none"/>
        </w:rPr>
      </w:pPr>
      <w:r>
        <w:rPr>
          <w:rFonts w:hint="eastAsia"/>
          <w:color w:val="auto"/>
          <w:szCs w:val="21"/>
          <w:highlight w:val="none"/>
          <w:u w:val="none"/>
        </w:rPr>
        <w:t>（</w:t>
      </w:r>
      <w:r>
        <w:rPr>
          <w:color w:val="auto"/>
          <w:szCs w:val="21"/>
          <w:highlight w:val="none"/>
          <w:u w:val="none"/>
        </w:rPr>
        <w:t>8）不得利用基金财产或者职务之便，为本人或者投资者以外的人牟取利益，进行利益输送；</w:t>
      </w:r>
    </w:p>
    <w:p>
      <w:pPr>
        <w:pStyle w:val="81"/>
        <w:rPr>
          <w:color w:val="auto"/>
          <w:highlight w:val="none"/>
          <w:u w:val="none"/>
        </w:rPr>
      </w:pPr>
      <w:r>
        <w:rPr>
          <w:rFonts w:hint="eastAsia"/>
          <w:color w:val="auto"/>
          <w:szCs w:val="21"/>
          <w:highlight w:val="none"/>
          <w:u w:val="none"/>
        </w:rPr>
        <w:t>（</w:t>
      </w:r>
      <w:r>
        <w:rPr>
          <w:color w:val="auto"/>
          <w:szCs w:val="21"/>
          <w:highlight w:val="none"/>
          <w:u w:val="none"/>
        </w:rPr>
        <w:t>9）自行担任或者委托其他机构担任基金的基金份额登记机构，委托其他基金份额登记机构办理注册登记业务时，对基金份额登记机构的行为进行必要的监督；</w:t>
      </w:r>
    </w:p>
    <w:p>
      <w:pPr>
        <w:pStyle w:val="81"/>
        <w:rPr>
          <w:color w:val="auto"/>
          <w:highlight w:val="none"/>
          <w:u w:val="none"/>
        </w:rPr>
      </w:pPr>
      <w:r>
        <w:rPr>
          <w:rFonts w:hint="eastAsia"/>
          <w:color w:val="auto"/>
          <w:szCs w:val="21"/>
          <w:highlight w:val="none"/>
          <w:u w:val="none"/>
        </w:rPr>
        <w:t>（</w:t>
      </w:r>
      <w:r>
        <w:rPr>
          <w:color w:val="auto"/>
          <w:szCs w:val="21"/>
          <w:highlight w:val="none"/>
          <w:u w:val="none"/>
        </w:rPr>
        <w:t>10）</w:t>
      </w:r>
      <w:r>
        <w:rPr>
          <w:rFonts w:hint="eastAsia"/>
          <w:color w:val="auto"/>
          <w:szCs w:val="21"/>
          <w:highlight w:val="none"/>
          <w:u w:val="none"/>
        </w:rPr>
        <w:t>管理人有权委托外包服务机构为其提供外包服务，并对其代理行为进行必要的监督和检查；具体</w:t>
      </w:r>
      <w:r>
        <w:rPr>
          <w:color w:val="auto"/>
          <w:szCs w:val="21"/>
          <w:highlight w:val="none"/>
          <w:u w:val="none"/>
        </w:rPr>
        <w:t>的外包服务范围及双方权利义务，以</w:t>
      </w:r>
      <w:r>
        <w:rPr>
          <w:rFonts w:hint="eastAsia"/>
          <w:color w:val="auto"/>
          <w:szCs w:val="21"/>
          <w:highlight w:val="none"/>
          <w:u w:val="none"/>
        </w:rPr>
        <w:t>管理人与外包服务机构另行签署的外包服务协议为准；</w:t>
      </w:r>
    </w:p>
    <w:p>
      <w:pPr>
        <w:pStyle w:val="81"/>
        <w:rPr>
          <w:color w:val="auto"/>
          <w:highlight w:val="none"/>
          <w:u w:val="none"/>
        </w:rPr>
      </w:pPr>
      <w:r>
        <w:rPr>
          <w:rFonts w:hint="eastAsia"/>
          <w:color w:val="auto"/>
          <w:szCs w:val="21"/>
          <w:highlight w:val="none"/>
          <w:u w:val="none"/>
        </w:rPr>
        <w:t>（</w:t>
      </w:r>
      <w:r>
        <w:rPr>
          <w:color w:val="auto"/>
          <w:szCs w:val="21"/>
          <w:highlight w:val="none"/>
          <w:u w:val="none"/>
        </w:rPr>
        <w:t>11）按照基金合同约定接受投资者和托管人的监督；</w:t>
      </w:r>
    </w:p>
    <w:p>
      <w:pPr>
        <w:pStyle w:val="81"/>
        <w:rPr>
          <w:color w:val="auto"/>
          <w:highlight w:val="none"/>
          <w:u w:val="none"/>
        </w:rPr>
      </w:pPr>
      <w:r>
        <w:rPr>
          <w:rFonts w:hint="eastAsia"/>
          <w:color w:val="auto"/>
          <w:szCs w:val="21"/>
          <w:highlight w:val="none"/>
          <w:u w:val="none"/>
        </w:rPr>
        <w:t>（</w:t>
      </w:r>
      <w:r>
        <w:rPr>
          <w:color w:val="auto"/>
          <w:szCs w:val="21"/>
          <w:highlight w:val="none"/>
          <w:u w:val="none"/>
        </w:rPr>
        <w:t>12）以管理人的名义，代表投资者利益行使诉讼权利或者实施其他法律行为；</w:t>
      </w:r>
    </w:p>
    <w:p>
      <w:pPr>
        <w:pStyle w:val="81"/>
        <w:rPr>
          <w:color w:val="auto"/>
          <w:highlight w:val="none"/>
          <w:u w:val="none"/>
        </w:rPr>
      </w:pPr>
      <w:r>
        <w:rPr>
          <w:rFonts w:hint="eastAsia"/>
          <w:color w:val="auto"/>
          <w:szCs w:val="21"/>
          <w:highlight w:val="none"/>
          <w:u w:val="none"/>
        </w:rPr>
        <w:t>（</w:t>
      </w:r>
      <w:r>
        <w:rPr>
          <w:color w:val="auto"/>
          <w:szCs w:val="21"/>
          <w:highlight w:val="none"/>
          <w:u w:val="none"/>
        </w:rPr>
        <w:t>13）</w:t>
      </w:r>
      <w:r>
        <w:rPr>
          <w:rFonts w:hint="eastAsia"/>
          <w:color w:val="auto"/>
          <w:szCs w:val="21"/>
          <w:highlight w:val="none"/>
          <w:u w:val="none"/>
        </w:rPr>
        <w:t>按照基金合同约定及时向托管人提供非证券类资产凭证或股权证明（包括股东名册和工商部门出具并加盖公章的权利证明文件）等重要文件（如有）；</w:t>
      </w:r>
    </w:p>
    <w:p>
      <w:pPr>
        <w:pStyle w:val="81"/>
        <w:rPr>
          <w:color w:val="auto"/>
          <w:highlight w:val="none"/>
          <w:u w:val="none"/>
        </w:rPr>
      </w:pPr>
      <w:r>
        <w:rPr>
          <w:rFonts w:hint="eastAsia"/>
          <w:color w:val="auto"/>
          <w:szCs w:val="21"/>
          <w:highlight w:val="none"/>
          <w:u w:val="none"/>
        </w:rPr>
        <w:t>（</w:t>
      </w:r>
      <w:r>
        <w:rPr>
          <w:color w:val="auto"/>
          <w:szCs w:val="21"/>
          <w:highlight w:val="none"/>
          <w:u w:val="none"/>
        </w:rPr>
        <w:t>14）按照基金合同约定负责基金会计核算并编制基金财务会计报告；</w:t>
      </w:r>
    </w:p>
    <w:p>
      <w:pPr>
        <w:pStyle w:val="81"/>
        <w:rPr>
          <w:color w:val="auto"/>
          <w:highlight w:val="none"/>
          <w:u w:val="none"/>
        </w:rPr>
      </w:pPr>
      <w:r>
        <w:rPr>
          <w:rFonts w:hint="eastAsia"/>
          <w:color w:val="auto"/>
          <w:szCs w:val="21"/>
          <w:highlight w:val="none"/>
          <w:u w:val="none"/>
        </w:rPr>
        <w:t>（</w:t>
      </w:r>
      <w:r>
        <w:rPr>
          <w:color w:val="auto"/>
          <w:szCs w:val="21"/>
          <w:highlight w:val="none"/>
          <w:u w:val="none"/>
        </w:rPr>
        <w:t>15）</w:t>
      </w:r>
      <w:r>
        <w:rPr>
          <w:rFonts w:hint="eastAsia"/>
          <w:color w:val="auto"/>
          <w:szCs w:val="21"/>
          <w:highlight w:val="none"/>
          <w:u w:val="none"/>
        </w:rPr>
        <w:t>按照基金合同约定计算并向投资者报告基金份额净值；</w:t>
      </w:r>
    </w:p>
    <w:p>
      <w:pPr>
        <w:pStyle w:val="81"/>
        <w:rPr>
          <w:color w:val="auto"/>
          <w:highlight w:val="none"/>
          <w:u w:val="none"/>
        </w:rPr>
      </w:pPr>
      <w:r>
        <w:rPr>
          <w:rFonts w:hint="eastAsia"/>
          <w:color w:val="auto"/>
          <w:szCs w:val="21"/>
          <w:highlight w:val="none"/>
          <w:u w:val="none"/>
        </w:rPr>
        <w:t>（</w:t>
      </w:r>
      <w:r>
        <w:rPr>
          <w:color w:val="auto"/>
          <w:szCs w:val="21"/>
          <w:highlight w:val="none"/>
          <w:u w:val="none"/>
        </w:rPr>
        <w:t>16）根据法律法规</w:t>
      </w:r>
      <w:r>
        <w:rPr>
          <w:rFonts w:hint="eastAsia"/>
          <w:color w:val="auto"/>
          <w:szCs w:val="21"/>
          <w:highlight w:val="none"/>
          <w:u w:val="none"/>
        </w:rPr>
        <w:t>、监管规则、自律规则的规定及</w:t>
      </w:r>
      <w:r>
        <w:rPr>
          <w:color w:val="auto"/>
          <w:szCs w:val="21"/>
          <w:highlight w:val="none"/>
          <w:u w:val="none"/>
        </w:rPr>
        <w:t>基金合同的规定，对投资者进行信息披露</w:t>
      </w:r>
      <w:r>
        <w:rPr>
          <w:rFonts w:hint="eastAsia"/>
          <w:color w:val="auto"/>
          <w:szCs w:val="21"/>
          <w:highlight w:val="none"/>
          <w:u w:val="none"/>
        </w:rPr>
        <w:t>，</w:t>
      </w:r>
      <w:r>
        <w:rPr>
          <w:color w:val="auto"/>
          <w:szCs w:val="21"/>
          <w:highlight w:val="none"/>
          <w:u w:val="none"/>
        </w:rPr>
        <w:t>揭示私募基金财产运作情况，包括编制</w:t>
      </w:r>
      <w:r>
        <w:rPr>
          <w:rFonts w:hint="eastAsia"/>
          <w:color w:val="auto"/>
          <w:szCs w:val="21"/>
          <w:highlight w:val="none"/>
          <w:u w:val="none"/>
        </w:rPr>
        <w:t>和</w:t>
      </w:r>
      <w:r>
        <w:rPr>
          <w:color w:val="auto"/>
          <w:szCs w:val="21"/>
          <w:highlight w:val="none"/>
          <w:u w:val="none"/>
        </w:rPr>
        <w:t>向投资者提供基金定期报告；</w:t>
      </w:r>
    </w:p>
    <w:p>
      <w:pPr>
        <w:pStyle w:val="81"/>
        <w:rPr>
          <w:color w:val="auto"/>
          <w:highlight w:val="none"/>
          <w:u w:val="none"/>
        </w:rPr>
      </w:pPr>
      <w:r>
        <w:rPr>
          <w:rFonts w:hint="eastAsia"/>
          <w:color w:val="auto"/>
          <w:szCs w:val="21"/>
          <w:highlight w:val="none"/>
          <w:u w:val="none"/>
        </w:rPr>
        <w:t>（</w:t>
      </w:r>
      <w:r>
        <w:rPr>
          <w:color w:val="auto"/>
          <w:szCs w:val="21"/>
          <w:highlight w:val="none"/>
          <w:u w:val="none"/>
        </w:rPr>
        <w:t>17）确定基金份额申购、赎回价格，采取适当、合理的措施确保基金份额交易价格的计算方法符合法律法规的规定和合同的约定；</w:t>
      </w:r>
    </w:p>
    <w:p>
      <w:pPr>
        <w:pStyle w:val="81"/>
        <w:rPr>
          <w:color w:val="auto"/>
          <w:highlight w:val="none"/>
          <w:u w:val="none"/>
        </w:rPr>
      </w:pPr>
      <w:r>
        <w:rPr>
          <w:rFonts w:hint="eastAsia"/>
          <w:color w:val="auto"/>
          <w:szCs w:val="21"/>
          <w:highlight w:val="none"/>
          <w:u w:val="none"/>
        </w:rPr>
        <w:t>（</w:t>
      </w:r>
      <w:r>
        <w:rPr>
          <w:color w:val="auto"/>
          <w:szCs w:val="21"/>
          <w:highlight w:val="none"/>
          <w:u w:val="none"/>
        </w:rPr>
        <w:t>18）保守商业秘密，不得泄露私募基金的投资计划或意向等，法律法规另有规定的除外；</w:t>
      </w:r>
    </w:p>
    <w:p>
      <w:pPr>
        <w:pStyle w:val="81"/>
        <w:rPr>
          <w:color w:val="auto"/>
          <w:highlight w:val="none"/>
          <w:u w:val="none"/>
        </w:rPr>
      </w:pPr>
      <w:r>
        <w:rPr>
          <w:rFonts w:hint="eastAsia"/>
          <w:color w:val="auto"/>
          <w:szCs w:val="21"/>
          <w:highlight w:val="none"/>
          <w:u w:val="none"/>
        </w:rPr>
        <w:t>（</w:t>
      </w:r>
      <w:r>
        <w:rPr>
          <w:color w:val="auto"/>
          <w:szCs w:val="21"/>
          <w:highlight w:val="none"/>
          <w:u w:val="none"/>
        </w:rPr>
        <w:t>19）保存基金投资业务活动的全部会计资料，并妥善保存有关的合同、交易记录及其他相关资料，保存期限自基金清算终止之日起不得少于</w:t>
      </w:r>
      <w:r>
        <w:rPr>
          <w:rFonts w:hint="eastAsia"/>
          <w:color w:val="auto"/>
          <w:szCs w:val="21"/>
          <w:highlight w:val="none"/>
          <w:u w:val="none"/>
        </w:rPr>
        <w:t>法律及法规及相关监管规则要求的期限</w:t>
      </w:r>
      <w:r>
        <w:rPr>
          <w:color w:val="auto"/>
          <w:szCs w:val="21"/>
          <w:highlight w:val="none"/>
          <w:u w:val="none"/>
        </w:rPr>
        <w:t>；</w:t>
      </w:r>
    </w:p>
    <w:p>
      <w:pPr>
        <w:pStyle w:val="81"/>
        <w:rPr>
          <w:color w:val="auto"/>
          <w:highlight w:val="none"/>
          <w:u w:val="none"/>
        </w:rPr>
      </w:pPr>
      <w:r>
        <w:rPr>
          <w:rFonts w:hint="eastAsia"/>
          <w:color w:val="auto"/>
          <w:szCs w:val="21"/>
          <w:highlight w:val="none"/>
          <w:u w:val="none"/>
        </w:rPr>
        <w:t>（</w:t>
      </w:r>
      <w:r>
        <w:rPr>
          <w:color w:val="auto"/>
          <w:szCs w:val="21"/>
          <w:highlight w:val="none"/>
          <w:u w:val="none"/>
        </w:rPr>
        <w:t>20）公平对待所管理的不同基金财产，不得从事任何有损基金财产及其他当事人利益的活动；</w:t>
      </w:r>
    </w:p>
    <w:p>
      <w:pPr>
        <w:pStyle w:val="81"/>
        <w:rPr>
          <w:color w:val="auto"/>
          <w:highlight w:val="none"/>
          <w:u w:val="none"/>
        </w:rPr>
      </w:pPr>
      <w:r>
        <w:rPr>
          <w:rFonts w:hint="eastAsia"/>
          <w:color w:val="auto"/>
          <w:szCs w:val="21"/>
          <w:highlight w:val="none"/>
          <w:u w:val="none"/>
        </w:rPr>
        <w:t>（</w:t>
      </w:r>
      <w:r>
        <w:rPr>
          <w:color w:val="auto"/>
          <w:szCs w:val="21"/>
          <w:highlight w:val="none"/>
          <w:u w:val="none"/>
        </w:rPr>
        <w:t>21）按照基金合同的约定确定基金收益分配方案，及时向投资者分配收益；</w:t>
      </w:r>
    </w:p>
    <w:p>
      <w:pPr>
        <w:pStyle w:val="81"/>
        <w:rPr>
          <w:color w:val="auto"/>
          <w:highlight w:val="none"/>
          <w:u w:val="none"/>
        </w:rPr>
      </w:pPr>
      <w:r>
        <w:rPr>
          <w:rFonts w:hint="eastAsia"/>
          <w:color w:val="auto"/>
          <w:szCs w:val="21"/>
          <w:highlight w:val="none"/>
          <w:u w:val="none"/>
        </w:rPr>
        <w:t>（</w:t>
      </w:r>
      <w:r>
        <w:rPr>
          <w:color w:val="auto"/>
          <w:szCs w:val="21"/>
          <w:highlight w:val="none"/>
          <w:u w:val="none"/>
        </w:rPr>
        <w:t>22）组织并参加基金财产清算小组，参与基金财产的保管、清理、估价、变现和分配；</w:t>
      </w:r>
    </w:p>
    <w:p>
      <w:pPr>
        <w:numPr>
          <w:ilvl w:val="0"/>
          <w:numId w:val="0"/>
        </w:numPr>
        <w:tabs>
          <w:tab w:val="center" w:pos="142"/>
          <w:tab w:val="center" w:pos="709"/>
          <w:tab w:val="center" w:pos="851"/>
          <w:tab w:val="center" w:pos="993"/>
        </w:tabs>
        <w:spacing w:line="360" w:lineRule="auto"/>
        <w:ind w:left="0" w:firstLine="420" w:firstLineChars="0"/>
        <w:rPr>
          <w:rFonts w:ascii="楷体" w:hAnsi="楷体" w:eastAsia="楷体"/>
          <w:color w:val="auto"/>
          <w:szCs w:val="21"/>
          <w:highlight w:val="none"/>
          <w:u w:val="none"/>
        </w:rPr>
      </w:pPr>
      <w:r>
        <w:rPr>
          <w:rFonts w:hint="eastAsia" w:ascii="楷体" w:hAnsi="楷体" w:eastAsia="楷体"/>
          <w:color w:val="auto"/>
          <w:szCs w:val="21"/>
          <w:highlight w:val="none"/>
          <w:u w:val="none"/>
        </w:rPr>
        <w:t>（</w:t>
      </w:r>
      <w:r>
        <w:rPr>
          <w:rFonts w:ascii="楷体" w:hAnsi="楷体" w:eastAsia="楷体"/>
          <w:color w:val="auto"/>
          <w:szCs w:val="21"/>
          <w:highlight w:val="none"/>
          <w:u w:val="none"/>
        </w:rPr>
        <w:t>23）</w:t>
      </w:r>
      <w:r>
        <w:rPr>
          <w:rFonts w:hint="eastAsia" w:ascii="楷体" w:hAnsi="楷体" w:eastAsia="楷体"/>
          <w:color w:val="auto"/>
          <w:szCs w:val="21"/>
          <w:highlight w:val="none"/>
          <w:u w:val="none"/>
        </w:rPr>
        <w:t>建立并保存投资者名册；</w:t>
      </w:r>
    </w:p>
    <w:p>
      <w:pPr>
        <w:pStyle w:val="81"/>
        <w:rPr>
          <w:color w:val="auto"/>
          <w:highlight w:val="none"/>
          <w:u w:val="none"/>
        </w:rPr>
      </w:pPr>
      <w:r>
        <w:rPr>
          <w:rFonts w:hint="eastAsia"/>
          <w:color w:val="auto"/>
          <w:szCs w:val="21"/>
          <w:highlight w:val="none"/>
          <w:u w:val="none"/>
        </w:rPr>
        <w:t>（</w:t>
      </w:r>
      <w:r>
        <w:rPr>
          <w:color w:val="auto"/>
          <w:szCs w:val="21"/>
          <w:highlight w:val="none"/>
          <w:u w:val="none"/>
        </w:rPr>
        <w:t>24）面临解散、依法被撤销或者被依法宣告破产时，及时报告基金业协会并通知托管人和投资者；</w:t>
      </w:r>
    </w:p>
    <w:p>
      <w:pPr>
        <w:pStyle w:val="81"/>
        <w:rPr>
          <w:color w:val="auto"/>
          <w:highlight w:val="none"/>
          <w:u w:val="none"/>
        </w:rPr>
      </w:pPr>
      <w:r>
        <w:rPr>
          <w:rFonts w:hint="eastAsia"/>
          <w:color w:val="auto"/>
          <w:szCs w:val="21"/>
          <w:highlight w:val="none"/>
          <w:u w:val="none"/>
        </w:rPr>
        <w:t>（</w:t>
      </w:r>
      <w:r>
        <w:rPr>
          <w:color w:val="auto"/>
          <w:szCs w:val="21"/>
          <w:highlight w:val="none"/>
          <w:u w:val="none"/>
        </w:rPr>
        <w:t>25）</w:t>
      </w:r>
      <w:r>
        <w:rPr>
          <w:rFonts w:hint="eastAsia"/>
          <w:color w:val="auto"/>
          <w:szCs w:val="21"/>
          <w:highlight w:val="none"/>
          <w:u w:val="none"/>
        </w:rPr>
        <w:t>管理人不得违反《暂行规定》，变相突破投资者人数限制；</w:t>
      </w:r>
    </w:p>
    <w:p>
      <w:pPr>
        <w:pStyle w:val="81"/>
        <w:rPr>
          <w:color w:val="auto"/>
          <w:highlight w:val="none"/>
          <w:u w:val="none"/>
        </w:rPr>
      </w:pPr>
      <w:r>
        <w:rPr>
          <w:rFonts w:hint="eastAsia"/>
          <w:color w:val="auto"/>
          <w:szCs w:val="21"/>
          <w:highlight w:val="none"/>
          <w:u w:val="none"/>
        </w:rPr>
        <w:t>（</w:t>
      </w:r>
      <w:r>
        <w:rPr>
          <w:color w:val="auto"/>
          <w:szCs w:val="21"/>
          <w:highlight w:val="none"/>
          <w:u w:val="none"/>
        </w:rPr>
        <w:t>26）法律法规、中国证监会及基金业协会规定的和基金合同约定的其他义务。</w:t>
      </w:r>
    </w:p>
    <w:p>
      <w:pPr>
        <w:pStyle w:val="81"/>
        <w:rPr>
          <w:color w:val="auto"/>
          <w:highlight w:val="none"/>
          <w:u w:val="none"/>
        </w:rPr>
      </w:pPr>
      <w:r>
        <w:rPr>
          <w:color w:val="auto"/>
          <w:szCs w:val="21"/>
          <w:highlight w:val="none"/>
          <w:u w:val="none"/>
        </w:rPr>
        <w:t>(五)托管人的权利与义务</w:t>
      </w:r>
    </w:p>
    <w:p>
      <w:pPr>
        <w:pStyle w:val="81"/>
        <w:rPr>
          <w:color w:val="auto"/>
          <w:highlight w:val="none"/>
          <w:u w:val="none"/>
        </w:rPr>
      </w:pPr>
      <w:r>
        <w:rPr>
          <w:color w:val="auto"/>
          <w:szCs w:val="21"/>
          <w:highlight w:val="none"/>
          <w:u w:val="none"/>
        </w:rPr>
        <w:t>1.托管人的权利</w:t>
      </w:r>
    </w:p>
    <w:p>
      <w:pPr>
        <w:pStyle w:val="81"/>
        <w:rPr>
          <w:color w:val="auto"/>
          <w:highlight w:val="none"/>
          <w:u w:val="none"/>
        </w:rPr>
      </w:pPr>
      <w:r>
        <w:rPr>
          <w:rFonts w:hint="eastAsia"/>
          <w:color w:val="auto"/>
          <w:szCs w:val="21"/>
          <w:highlight w:val="none"/>
          <w:u w:val="none"/>
        </w:rPr>
        <w:t>（</w:t>
      </w:r>
      <w:r>
        <w:rPr>
          <w:color w:val="auto"/>
          <w:szCs w:val="21"/>
          <w:highlight w:val="none"/>
          <w:u w:val="none"/>
        </w:rPr>
        <w:t>1）按照基金合同的约定，及时、足额获得托管费；</w:t>
      </w:r>
    </w:p>
    <w:p>
      <w:pPr>
        <w:pStyle w:val="81"/>
        <w:rPr>
          <w:color w:val="auto"/>
          <w:highlight w:val="none"/>
          <w:u w:val="none"/>
        </w:rPr>
      </w:pPr>
      <w:r>
        <w:rPr>
          <w:rFonts w:hint="eastAsia"/>
          <w:color w:val="auto"/>
          <w:szCs w:val="21"/>
          <w:highlight w:val="none"/>
          <w:u w:val="none"/>
        </w:rPr>
        <w:t>（</w:t>
      </w:r>
      <w:r>
        <w:rPr>
          <w:color w:val="auto"/>
          <w:szCs w:val="21"/>
          <w:highlight w:val="none"/>
          <w:u w:val="none"/>
        </w:rPr>
        <w:t>2）依据法律法规规定和基金合同约定，监督管理人对基金财产的投资运作，对于管理人违反法律法规规定</w:t>
      </w:r>
      <w:r>
        <w:rPr>
          <w:rFonts w:hint="eastAsia"/>
          <w:color w:val="auto"/>
          <w:szCs w:val="21"/>
          <w:highlight w:val="none"/>
          <w:u w:val="none"/>
        </w:rPr>
        <w:t>或</w:t>
      </w:r>
      <w:r>
        <w:rPr>
          <w:color w:val="auto"/>
          <w:szCs w:val="21"/>
          <w:highlight w:val="none"/>
          <w:u w:val="none"/>
        </w:rPr>
        <w:t>基金合同约定</w:t>
      </w:r>
      <w:r>
        <w:rPr>
          <w:rFonts w:hint="eastAsia"/>
          <w:color w:val="auto"/>
          <w:szCs w:val="21"/>
          <w:highlight w:val="none"/>
          <w:u w:val="none"/>
        </w:rPr>
        <w:t>、</w:t>
      </w:r>
      <w:r>
        <w:rPr>
          <w:color w:val="auto"/>
          <w:szCs w:val="21"/>
          <w:highlight w:val="none"/>
          <w:u w:val="none"/>
        </w:rPr>
        <w:t>对基金财产及其他当事人的利益造成重大损失的情形，有权</w:t>
      </w:r>
      <w:r>
        <w:rPr>
          <w:rFonts w:hint="eastAsia"/>
          <w:color w:val="auto"/>
          <w:szCs w:val="21"/>
          <w:highlight w:val="none"/>
          <w:u w:val="none"/>
        </w:rPr>
        <w:t>拒绝执行，并</w:t>
      </w:r>
      <w:r>
        <w:rPr>
          <w:color w:val="auto"/>
          <w:szCs w:val="21"/>
          <w:highlight w:val="none"/>
          <w:u w:val="none"/>
        </w:rPr>
        <w:t>报告</w:t>
      </w:r>
      <w:r>
        <w:rPr>
          <w:rFonts w:hint="eastAsia"/>
          <w:color w:val="auto"/>
          <w:szCs w:val="21"/>
          <w:highlight w:val="none"/>
          <w:u w:val="none"/>
        </w:rPr>
        <w:t>相关监管机构</w:t>
      </w:r>
      <w:r>
        <w:rPr>
          <w:color w:val="auto"/>
          <w:szCs w:val="21"/>
          <w:highlight w:val="none"/>
          <w:u w:val="none"/>
        </w:rPr>
        <w:t>；</w:t>
      </w:r>
    </w:p>
    <w:p>
      <w:pPr>
        <w:pStyle w:val="81"/>
        <w:rPr>
          <w:color w:val="auto"/>
          <w:szCs w:val="21"/>
          <w:highlight w:val="none"/>
          <w:u w:val="none"/>
        </w:rPr>
      </w:pPr>
      <w:r>
        <w:rPr>
          <w:rFonts w:hint="eastAsia"/>
          <w:color w:val="auto"/>
          <w:szCs w:val="21"/>
          <w:highlight w:val="none"/>
          <w:u w:val="none"/>
        </w:rPr>
        <w:t>（</w:t>
      </w:r>
      <w:r>
        <w:rPr>
          <w:color w:val="auto"/>
          <w:szCs w:val="21"/>
          <w:highlight w:val="none"/>
          <w:u w:val="none"/>
        </w:rPr>
        <w:t>3）按照基金合同约定，依法保管私募基金财产；</w:t>
      </w:r>
    </w:p>
    <w:p>
      <w:pPr>
        <w:pStyle w:val="81"/>
        <w:rPr>
          <w:color w:val="auto"/>
          <w:szCs w:val="21"/>
          <w:highlight w:val="none"/>
          <w:u w:val="none"/>
        </w:rPr>
      </w:pPr>
      <w:r>
        <w:rPr>
          <w:rFonts w:hint="eastAsia"/>
          <w:color w:val="auto"/>
          <w:szCs w:val="21"/>
          <w:highlight w:val="none"/>
          <w:u w:val="none"/>
        </w:rPr>
        <w:t>（</w:t>
      </w:r>
      <w:r>
        <w:rPr>
          <w:color w:val="auto"/>
          <w:szCs w:val="21"/>
          <w:highlight w:val="none"/>
          <w:u w:val="none"/>
        </w:rPr>
        <w:t>4）法律法规、中国证监会及基金业协会规定的和基金合同约定的其他权利。</w:t>
      </w:r>
    </w:p>
    <w:p>
      <w:pPr>
        <w:pStyle w:val="81"/>
        <w:rPr>
          <w:color w:val="auto"/>
          <w:szCs w:val="21"/>
          <w:highlight w:val="none"/>
          <w:u w:val="none"/>
        </w:rPr>
      </w:pPr>
      <w:r>
        <w:rPr>
          <w:color w:val="auto"/>
          <w:szCs w:val="21"/>
          <w:highlight w:val="none"/>
          <w:u w:val="none"/>
        </w:rPr>
        <w:t>2.托管人的义务</w:t>
      </w:r>
    </w:p>
    <w:p>
      <w:pPr>
        <w:pStyle w:val="81"/>
        <w:rPr>
          <w:color w:val="auto"/>
          <w:szCs w:val="21"/>
          <w:highlight w:val="none"/>
          <w:u w:val="none"/>
        </w:rPr>
      </w:pPr>
      <w:r>
        <w:rPr>
          <w:color w:val="auto"/>
          <w:szCs w:val="21"/>
          <w:highlight w:val="none"/>
          <w:u w:val="none"/>
        </w:rPr>
        <w:t>托管人应</w:t>
      </w:r>
      <w:r>
        <w:rPr>
          <w:rFonts w:hint="eastAsia"/>
          <w:color w:val="auto"/>
          <w:szCs w:val="21"/>
          <w:highlight w:val="none"/>
          <w:u w:val="none"/>
        </w:rPr>
        <w:t>就</w:t>
      </w:r>
      <w:r>
        <w:rPr>
          <w:color w:val="auto"/>
          <w:szCs w:val="21"/>
          <w:highlight w:val="none"/>
          <w:u w:val="none"/>
        </w:rPr>
        <w:t>本基金履行下列义务：</w:t>
      </w:r>
    </w:p>
    <w:p>
      <w:pPr>
        <w:pStyle w:val="81"/>
        <w:rPr>
          <w:color w:val="auto"/>
          <w:szCs w:val="21"/>
          <w:highlight w:val="none"/>
          <w:u w:val="none"/>
        </w:rPr>
      </w:pPr>
      <w:r>
        <w:rPr>
          <w:rFonts w:hint="eastAsia"/>
          <w:color w:val="auto"/>
          <w:szCs w:val="21"/>
          <w:highlight w:val="none"/>
          <w:u w:val="none"/>
        </w:rPr>
        <w:t>（</w:t>
      </w:r>
      <w:r>
        <w:rPr>
          <w:color w:val="auto"/>
          <w:szCs w:val="21"/>
          <w:highlight w:val="none"/>
          <w:u w:val="none"/>
        </w:rPr>
        <w:t>1）安全保管基金财产；</w:t>
      </w:r>
    </w:p>
    <w:p>
      <w:pPr>
        <w:pStyle w:val="81"/>
        <w:rPr>
          <w:color w:val="auto"/>
          <w:szCs w:val="21"/>
          <w:highlight w:val="none"/>
          <w:u w:val="none"/>
        </w:rPr>
      </w:pPr>
      <w:r>
        <w:rPr>
          <w:rFonts w:hint="eastAsia"/>
          <w:color w:val="auto"/>
          <w:szCs w:val="21"/>
          <w:highlight w:val="none"/>
          <w:u w:val="none"/>
        </w:rPr>
        <w:t>（</w:t>
      </w:r>
      <w:r>
        <w:rPr>
          <w:color w:val="auto"/>
          <w:szCs w:val="21"/>
          <w:highlight w:val="none"/>
          <w:u w:val="none"/>
        </w:rPr>
        <w:t>2）具有符合要求的营业场所，配备足够的、合格专职人员，负责基金财产托管事宜；</w:t>
      </w:r>
    </w:p>
    <w:p>
      <w:pPr>
        <w:pStyle w:val="81"/>
        <w:rPr>
          <w:color w:val="auto"/>
          <w:highlight w:val="none"/>
          <w:u w:val="none"/>
        </w:rPr>
      </w:pPr>
      <w:r>
        <w:rPr>
          <w:rFonts w:hint="eastAsia"/>
          <w:color w:val="auto"/>
          <w:szCs w:val="21"/>
          <w:highlight w:val="none"/>
          <w:u w:val="none"/>
        </w:rPr>
        <w:t>（</w:t>
      </w:r>
      <w:r>
        <w:rPr>
          <w:color w:val="auto"/>
          <w:szCs w:val="21"/>
          <w:highlight w:val="none"/>
          <w:u w:val="none"/>
        </w:rPr>
        <w:t>3）对所托管的不同基金财产分别设置账户，确保基金财产的完整与独立；</w:t>
      </w:r>
    </w:p>
    <w:p>
      <w:pPr>
        <w:pStyle w:val="81"/>
        <w:rPr>
          <w:color w:val="auto"/>
          <w:highlight w:val="none"/>
          <w:u w:val="none"/>
        </w:rPr>
      </w:pPr>
      <w:r>
        <w:rPr>
          <w:rFonts w:hint="eastAsia"/>
          <w:color w:val="auto"/>
          <w:szCs w:val="21"/>
          <w:highlight w:val="none"/>
          <w:u w:val="none"/>
        </w:rPr>
        <w:t>（</w:t>
      </w:r>
      <w:r>
        <w:rPr>
          <w:color w:val="auto"/>
          <w:szCs w:val="21"/>
          <w:highlight w:val="none"/>
          <w:u w:val="none"/>
        </w:rPr>
        <w:t>4）除依据法律法规规定和基金合同的约定外，不得为托管人及任何第三人谋取利益，不得委托第三人托管基金财产；</w:t>
      </w:r>
    </w:p>
    <w:p>
      <w:pPr>
        <w:pStyle w:val="81"/>
        <w:rPr>
          <w:color w:val="auto"/>
          <w:highlight w:val="none"/>
          <w:u w:val="none"/>
        </w:rPr>
      </w:pPr>
      <w:r>
        <w:rPr>
          <w:rFonts w:hint="eastAsia"/>
          <w:color w:val="auto"/>
          <w:szCs w:val="21"/>
          <w:highlight w:val="none"/>
          <w:u w:val="none"/>
        </w:rPr>
        <w:t>（</w:t>
      </w:r>
      <w:r>
        <w:rPr>
          <w:color w:val="auto"/>
          <w:szCs w:val="21"/>
          <w:highlight w:val="none"/>
          <w:u w:val="none"/>
        </w:rPr>
        <w:t>5）按规定开立和注销基金财产的托管账户、证券账户等投资所需账户；</w:t>
      </w:r>
    </w:p>
    <w:p>
      <w:pPr>
        <w:pStyle w:val="81"/>
        <w:rPr>
          <w:color w:val="auto"/>
          <w:highlight w:val="none"/>
          <w:u w:val="none"/>
        </w:rPr>
      </w:pPr>
      <w:r>
        <w:rPr>
          <w:rFonts w:hint="eastAsia"/>
          <w:color w:val="auto"/>
          <w:szCs w:val="21"/>
          <w:highlight w:val="none"/>
          <w:u w:val="none"/>
        </w:rPr>
        <w:t>（</w:t>
      </w:r>
      <w:r>
        <w:rPr>
          <w:color w:val="auto"/>
          <w:szCs w:val="21"/>
          <w:highlight w:val="none"/>
          <w:u w:val="none"/>
        </w:rPr>
        <w:t>6）复核基金份额净值；</w:t>
      </w:r>
    </w:p>
    <w:p>
      <w:pPr>
        <w:pStyle w:val="81"/>
        <w:rPr>
          <w:color w:val="auto"/>
          <w:highlight w:val="none"/>
          <w:u w:val="none"/>
        </w:rPr>
      </w:pPr>
      <w:r>
        <w:rPr>
          <w:rFonts w:hint="eastAsia"/>
          <w:color w:val="auto"/>
          <w:szCs w:val="21"/>
          <w:highlight w:val="none"/>
          <w:u w:val="none"/>
        </w:rPr>
        <w:t>（</w:t>
      </w:r>
      <w:r>
        <w:rPr>
          <w:color w:val="auto"/>
          <w:szCs w:val="21"/>
          <w:highlight w:val="none"/>
          <w:u w:val="none"/>
        </w:rPr>
        <w:t>7）</w:t>
      </w:r>
      <w:r>
        <w:rPr>
          <w:rFonts w:hint="eastAsia"/>
          <w:color w:val="auto"/>
          <w:szCs w:val="21"/>
          <w:highlight w:val="none"/>
          <w:u w:val="none"/>
        </w:rPr>
        <w:t>根据本合同“信息披露与报告”章节的约定办理与基金托管业务有关的信息披露事项；</w:t>
      </w:r>
    </w:p>
    <w:p>
      <w:pPr>
        <w:pStyle w:val="81"/>
        <w:rPr>
          <w:color w:val="auto"/>
          <w:highlight w:val="none"/>
          <w:u w:val="none"/>
        </w:rPr>
      </w:pPr>
      <w:r>
        <w:rPr>
          <w:rFonts w:hint="eastAsia"/>
          <w:color w:val="auto"/>
          <w:szCs w:val="21"/>
          <w:highlight w:val="none"/>
          <w:u w:val="none"/>
        </w:rPr>
        <w:t>（</w:t>
      </w:r>
      <w:r>
        <w:rPr>
          <w:color w:val="auto"/>
          <w:szCs w:val="21"/>
          <w:highlight w:val="none"/>
          <w:u w:val="none"/>
        </w:rPr>
        <w:t>8）按照基金合同约定，根据管理人或其授权人的资金划拨指令，及时办理清算、交割事宜；</w:t>
      </w:r>
    </w:p>
    <w:p>
      <w:pPr>
        <w:pStyle w:val="81"/>
        <w:rPr>
          <w:color w:val="auto"/>
          <w:highlight w:val="none"/>
          <w:u w:val="none"/>
        </w:rPr>
      </w:pPr>
      <w:r>
        <w:rPr>
          <w:rFonts w:hint="eastAsia"/>
          <w:color w:val="auto"/>
          <w:szCs w:val="21"/>
          <w:highlight w:val="none"/>
          <w:u w:val="none"/>
        </w:rPr>
        <w:t>（</w:t>
      </w:r>
      <w:r>
        <w:rPr>
          <w:color w:val="auto"/>
          <w:szCs w:val="21"/>
          <w:highlight w:val="none"/>
          <w:u w:val="none"/>
        </w:rPr>
        <w:t>9）公平对待所托管的不同基金财产，不得从事任何有损基金财产及其他当事人利益的活动；</w:t>
      </w:r>
    </w:p>
    <w:p>
      <w:pPr>
        <w:pStyle w:val="81"/>
        <w:rPr>
          <w:color w:val="auto"/>
          <w:szCs w:val="21"/>
          <w:highlight w:val="none"/>
          <w:u w:val="none"/>
        </w:rPr>
      </w:pPr>
      <w:r>
        <w:rPr>
          <w:rFonts w:hint="eastAsia"/>
          <w:color w:val="auto"/>
          <w:szCs w:val="21"/>
          <w:highlight w:val="none"/>
          <w:u w:val="none"/>
        </w:rPr>
        <w:t>（</w:t>
      </w:r>
      <w:r>
        <w:rPr>
          <w:color w:val="auto"/>
          <w:szCs w:val="21"/>
          <w:highlight w:val="none"/>
          <w:u w:val="none"/>
        </w:rPr>
        <w:t>10）保守商业秘密，除法律法规规定和基金合同约定外，不得向他人泄露本基金的有关信息；</w:t>
      </w:r>
    </w:p>
    <w:p>
      <w:pPr>
        <w:pStyle w:val="81"/>
        <w:rPr>
          <w:color w:val="auto"/>
          <w:highlight w:val="none"/>
          <w:u w:val="none"/>
        </w:rPr>
      </w:pPr>
      <w:r>
        <w:rPr>
          <w:rFonts w:hint="eastAsia"/>
          <w:color w:val="auto"/>
          <w:szCs w:val="21"/>
          <w:highlight w:val="none"/>
          <w:u w:val="none"/>
        </w:rPr>
        <w:t>（</w:t>
      </w:r>
      <w:r>
        <w:rPr>
          <w:color w:val="auto"/>
          <w:szCs w:val="21"/>
          <w:highlight w:val="none"/>
          <w:u w:val="none"/>
        </w:rPr>
        <w:t>11）根据相关法律法规要求的保存期限，保存</w:t>
      </w:r>
      <w:r>
        <w:rPr>
          <w:rFonts w:hint="eastAsia"/>
          <w:color w:val="auto"/>
          <w:szCs w:val="21"/>
          <w:highlight w:val="none"/>
          <w:u w:val="none"/>
        </w:rPr>
        <w:t>与私募基金管理业务活动相关</w:t>
      </w:r>
      <w:r>
        <w:rPr>
          <w:color w:val="auto"/>
          <w:szCs w:val="21"/>
          <w:highlight w:val="none"/>
          <w:u w:val="none"/>
        </w:rPr>
        <w:t>的合同、</w:t>
      </w:r>
      <w:r>
        <w:rPr>
          <w:rFonts w:hint="eastAsia"/>
          <w:color w:val="auto"/>
          <w:szCs w:val="21"/>
          <w:highlight w:val="none"/>
          <w:u w:val="none"/>
        </w:rPr>
        <w:t>协议、凭证等文件的原件或复印件</w:t>
      </w:r>
      <w:r>
        <w:rPr>
          <w:color w:val="auto"/>
          <w:szCs w:val="21"/>
          <w:highlight w:val="none"/>
          <w:u w:val="none"/>
        </w:rPr>
        <w:t>；</w:t>
      </w:r>
    </w:p>
    <w:p>
      <w:pPr>
        <w:pStyle w:val="81"/>
        <w:rPr>
          <w:color w:val="auto"/>
          <w:highlight w:val="none"/>
          <w:u w:val="none"/>
        </w:rPr>
      </w:pPr>
      <w:r>
        <w:rPr>
          <w:rFonts w:hint="eastAsia"/>
          <w:color w:val="auto"/>
          <w:szCs w:val="21"/>
          <w:highlight w:val="none"/>
          <w:u w:val="none"/>
        </w:rPr>
        <w:t>（</w:t>
      </w:r>
      <w:r>
        <w:rPr>
          <w:color w:val="auto"/>
          <w:szCs w:val="21"/>
          <w:highlight w:val="none"/>
          <w:u w:val="none"/>
        </w:rPr>
        <w:t>12）</w:t>
      </w:r>
      <w:r>
        <w:rPr>
          <w:rFonts w:hint="eastAsia"/>
          <w:color w:val="auto"/>
          <w:szCs w:val="21"/>
          <w:highlight w:val="none"/>
          <w:u w:val="none"/>
        </w:rPr>
        <w:t>根据相关法律法规要求的保存期限，保存私募投资基金投资业务活动的会计资料，并妥善保存有关合同、交易记录及其他资料的原件或复印件；</w:t>
      </w:r>
    </w:p>
    <w:p>
      <w:pPr>
        <w:pStyle w:val="81"/>
        <w:rPr>
          <w:color w:val="auto"/>
          <w:highlight w:val="none"/>
          <w:u w:val="none"/>
        </w:rPr>
      </w:pPr>
      <w:r>
        <w:rPr>
          <w:rFonts w:hint="eastAsia"/>
          <w:color w:val="auto"/>
          <w:szCs w:val="21"/>
          <w:highlight w:val="none"/>
          <w:u w:val="none"/>
        </w:rPr>
        <w:t>（</w:t>
      </w:r>
      <w:r>
        <w:rPr>
          <w:color w:val="auto"/>
          <w:szCs w:val="21"/>
          <w:highlight w:val="none"/>
          <w:u w:val="none"/>
        </w:rPr>
        <w:t>13）</w:t>
      </w:r>
      <w:r>
        <w:rPr>
          <w:rFonts w:hint="eastAsia"/>
          <w:color w:val="auto"/>
          <w:szCs w:val="21"/>
          <w:highlight w:val="none"/>
          <w:u w:val="none"/>
        </w:rPr>
        <w:t>根据本合同约定</w:t>
      </w:r>
      <w:r>
        <w:rPr>
          <w:color w:val="auto"/>
          <w:szCs w:val="21"/>
          <w:highlight w:val="none"/>
          <w:u w:val="none"/>
        </w:rPr>
        <w:t>监督管理人的投资运作，发现管理人的投资指令违反法律法规的规定及基金合同约定的，应当拒绝执行</w:t>
      </w:r>
      <w:r>
        <w:rPr>
          <w:rFonts w:hint="eastAsia"/>
          <w:color w:val="auto"/>
          <w:szCs w:val="21"/>
          <w:highlight w:val="none"/>
          <w:u w:val="none"/>
        </w:rPr>
        <w:t>，立即通知管理人</w:t>
      </w:r>
      <w:r>
        <w:rPr>
          <w:color w:val="auto"/>
          <w:szCs w:val="21"/>
          <w:highlight w:val="none"/>
          <w:u w:val="none"/>
        </w:rPr>
        <w:t>；</w:t>
      </w:r>
      <w:r>
        <w:rPr>
          <w:rFonts w:hint="eastAsia"/>
          <w:color w:val="auto"/>
          <w:szCs w:val="21"/>
          <w:highlight w:val="none"/>
          <w:u w:val="none"/>
        </w:rPr>
        <w:t>发现管理人依据交易程序已经生效的投资指令违反法律法规的规定及基金合同约定的，应当立即通知管理人；托管人的监督职责范畴，具体以本合同约定为准；</w:t>
      </w:r>
    </w:p>
    <w:p>
      <w:pPr>
        <w:pStyle w:val="81"/>
        <w:rPr>
          <w:color w:val="auto"/>
          <w:highlight w:val="none"/>
          <w:u w:val="none"/>
        </w:rPr>
      </w:pPr>
      <w:r>
        <w:rPr>
          <w:rFonts w:hint="eastAsia"/>
          <w:color w:val="auto"/>
          <w:szCs w:val="21"/>
          <w:highlight w:val="none"/>
          <w:u w:val="none"/>
        </w:rPr>
        <w:t>（</w:t>
      </w:r>
      <w:r>
        <w:rPr>
          <w:color w:val="auto"/>
          <w:szCs w:val="21"/>
          <w:highlight w:val="none"/>
          <w:u w:val="none"/>
        </w:rPr>
        <w:t>14）</w:t>
      </w:r>
      <w:r>
        <w:rPr>
          <w:rFonts w:hint="eastAsia"/>
          <w:color w:val="auto"/>
          <w:szCs w:val="21"/>
          <w:highlight w:val="none"/>
          <w:u w:val="none"/>
        </w:rPr>
        <w:t>按照基金合同约定制作相关账册并与管理人核对；</w:t>
      </w:r>
    </w:p>
    <w:p>
      <w:pPr>
        <w:pStyle w:val="81"/>
        <w:rPr>
          <w:color w:val="auto"/>
          <w:highlight w:val="none"/>
          <w:u w:val="none"/>
        </w:rPr>
      </w:pPr>
      <w:r>
        <w:rPr>
          <w:rFonts w:hint="eastAsia"/>
          <w:color w:val="auto"/>
          <w:szCs w:val="21"/>
          <w:highlight w:val="none"/>
          <w:u w:val="none"/>
        </w:rPr>
        <w:t>（</w:t>
      </w:r>
      <w:r>
        <w:rPr>
          <w:color w:val="auto"/>
          <w:szCs w:val="21"/>
          <w:highlight w:val="none"/>
          <w:u w:val="none"/>
        </w:rPr>
        <w:t>15）法律法规、中国证监会及基金业协会规定的和基金合同约定的其他义务。</w:t>
      </w:r>
    </w:p>
    <w:p>
      <w:pPr>
        <w:pStyle w:val="81"/>
        <w:rPr>
          <w:color w:val="auto"/>
          <w:highlight w:val="none"/>
          <w:u w:val="none"/>
        </w:rPr>
      </w:pPr>
      <w:r>
        <w:rPr>
          <w:color w:val="auto"/>
          <w:szCs w:val="21"/>
          <w:highlight w:val="none"/>
          <w:u w:val="none"/>
        </w:rPr>
        <w:t>(六)投资者的权利与义务</w:t>
      </w:r>
    </w:p>
    <w:p>
      <w:pPr>
        <w:pStyle w:val="81"/>
        <w:rPr>
          <w:color w:val="auto"/>
          <w:highlight w:val="none"/>
          <w:u w:val="none"/>
        </w:rPr>
      </w:pPr>
      <w:r>
        <w:rPr>
          <w:color w:val="auto"/>
          <w:szCs w:val="21"/>
          <w:highlight w:val="none"/>
          <w:u w:val="none"/>
        </w:rPr>
        <w:t>1.投资者的权利</w:t>
      </w:r>
    </w:p>
    <w:p>
      <w:pPr>
        <w:pStyle w:val="81"/>
        <w:rPr>
          <w:color w:val="auto"/>
          <w:highlight w:val="none"/>
          <w:u w:val="none"/>
        </w:rPr>
      </w:pPr>
      <w:r>
        <w:rPr>
          <w:rFonts w:hint="eastAsia"/>
          <w:color w:val="auto"/>
          <w:szCs w:val="21"/>
          <w:highlight w:val="none"/>
          <w:u w:val="none"/>
        </w:rPr>
        <w:t>（</w:t>
      </w:r>
      <w:r>
        <w:rPr>
          <w:color w:val="auto"/>
          <w:szCs w:val="21"/>
          <w:highlight w:val="none"/>
          <w:u w:val="none"/>
        </w:rPr>
        <w:t>1）取得基金财产收益；</w:t>
      </w:r>
    </w:p>
    <w:p>
      <w:pPr>
        <w:pStyle w:val="81"/>
        <w:rPr>
          <w:color w:val="auto"/>
          <w:highlight w:val="none"/>
          <w:u w:val="none"/>
        </w:rPr>
      </w:pPr>
      <w:r>
        <w:rPr>
          <w:rFonts w:hint="eastAsia"/>
          <w:color w:val="auto"/>
          <w:szCs w:val="21"/>
          <w:highlight w:val="none"/>
          <w:u w:val="none"/>
        </w:rPr>
        <w:t>（</w:t>
      </w:r>
      <w:r>
        <w:rPr>
          <w:color w:val="auto"/>
          <w:szCs w:val="21"/>
          <w:highlight w:val="none"/>
          <w:u w:val="none"/>
        </w:rPr>
        <w:t>2）取得清算后的剩余基金财产；</w:t>
      </w:r>
    </w:p>
    <w:p>
      <w:pPr>
        <w:pStyle w:val="81"/>
        <w:rPr>
          <w:color w:val="auto"/>
          <w:highlight w:val="none"/>
          <w:u w:val="none"/>
        </w:rPr>
      </w:pPr>
      <w:r>
        <w:rPr>
          <w:rFonts w:hint="eastAsia"/>
          <w:color w:val="auto"/>
          <w:szCs w:val="21"/>
          <w:highlight w:val="none"/>
          <w:u w:val="none"/>
        </w:rPr>
        <w:t>（</w:t>
      </w:r>
      <w:r>
        <w:rPr>
          <w:color w:val="auto"/>
          <w:szCs w:val="21"/>
          <w:highlight w:val="none"/>
          <w:u w:val="none"/>
        </w:rPr>
        <w:t>3）按照基金合同的约定申购、赎回和转让基金份额；</w:t>
      </w:r>
    </w:p>
    <w:p>
      <w:pPr>
        <w:pStyle w:val="81"/>
        <w:rPr>
          <w:color w:val="auto"/>
          <w:highlight w:val="none"/>
          <w:u w:val="none"/>
        </w:rPr>
      </w:pPr>
      <w:r>
        <w:rPr>
          <w:rFonts w:hint="eastAsia"/>
          <w:color w:val="auto"/>
          <w:szCs w:val="21"/>
          <w:highlight w:val="none"/>
          <w:u w:val="none"/>
        </w:rPr>
        <w:t>（</w:t>
      </w:r>
      <w:r>
        <w:rPr>
          <w:color w:val="auto"/>
          <w:szCs w:val="21"/>
          <w:highlight w:val="none"/>
          <w:u w:val="none"/>
        </w:rPr>
        <w:t>4）根据基金合同的规定，参加或申请召集基金份额持有人大会，行使相关职权；</w:t>
      </w:r>
    </w:p>
    <w:p>
      <w:pPr>
        <w:pStyle w:val="81"/>
        <w:rPr>
          <w:color w:val="auto"/>
          <w:highlight w:val="none"/>
          <w:u w:val="none"/>
        </w:rPr>
      </w:pPr>
      <w:r>
        <w:rPr>
          <w:rFonts w:hint="eastAsia"/>
          <w:color w:val="auto"/>
          <w:szCs w:val="21"/>
          <w:highlight w:val="none"/>
          <w:u w:val="none"/>
        </w:rPr>
        <w:t>（</w:t>
      </w:r>
      <w:r>
        <w:rPr>
          <w:color w:val="auto"/>
          <w:szCs w:val="21"/>
          <w:highlight w:val="none"/>
          <w:u w:val="none"/>
        </w:rPr>
        <w:t>5）监督管理人、托管人履行投资管理及托管义务的情况；</w:t>
      </w:r>
    </w:p>
    <w:p>
      <w:pPr>
        <w:pStyle w:val="81"/>
        <w:rPr>
          <w:color w:val="auto"/>
          <w:highlight w:val="none"/>
          <w:u w:val="none"/>
        </w:rPr>
      </w:pPr>
      <w:r>
        <w:rPr>
          <w:rFonts w:hint="eastAsia"/>
          <w:color w:val="auto"/>
          <w:szCs w:val="21"/>
          <w:highlight w:val="none"/>
          <w:u w:val="none"/>
        </w:rPr>
        <w:t>（</w:t>
      </w:r>
      <w:r>
        <w:rPr>
          <w:color w:val="auto"/>
          <w:szCs w:val="21"/>
          <w:highlight w:val="none"/>
          <w:u w:val="none"/>
        </w:rPr>
        <w:t>6）按照基金合同约定的时间和方式获得基金信息披露资料；</w:t>
      </w:r>
    </w:p>
    <w:p>
      <w:pPr>
        <w:pStyle w:val="81"/>
        <w:rPr>
          <w:color w:val="auto"/>
          <w:highlight w:val="none"/>
          <w:u w:val="none"/>
        </w:rPr>
      </w:pPr>
      <w:r>
        <w:rPr>
          <w:rFonts w:hint="eastAsia"/>
          <w:color w:val="auto"/>
          <w:szCs w:val="21"/>
          <w:highlight w:val="none"/>
          <w:u w:val="none"/>
        </w:rPr>
        <w:t>（</w:t>
      </w:r>
      <w:r>
        <w:rPr>
          <w:color w:val="auto"/>
          <w:szCs w:val="21"/>
          <w:highlight w:val="none"/>
          <w:u w:val="none"/>
        </w:rPr>
        <w:t>7）因管理人、托管人违反法律法规或基金合同的约定导致合法权益受到损害的，有权得到赔偿；</w:t>
      </w:r>
    </w:p>
    <w:p>
      <w:pPr>
        <w:pStyle w:val="81"/>
        <w:rPr>
          <w:color w:val="auto"/>
          <w:highlight w:val="none"/>
          <w:u w:val="none"/>
        </w:rPr>
      </w:pPr>
      <w:r>
        <w:rPr>
          <w:rFonts w:hint="eastAsia"/>
          <w:color w:val="auto"/>
          <w:szCs w:val="21"/>
          <w:highlight w:val="none"/>
          <w:u w:val="none"/>
        </w:rPr>
        <w:t>（</w:t>
      </w:r>
      <w:r>
        <w:rPr>
          <w:color w:val="auto"/>
          <w:szCs w:val="21"/>
          <w:highlight w:val="none"/>
          <w:u w:val="none"/>
        </w:rPr>
        <w:t>8）法律法规、中国证监会及基金业协会规定的和基金合同约定的其他权利。</w:t>
      </w:r>
    </w:p>
    <w:p>
      <w:pPr>
        <w:pStyle w:val="81"/>
        <w:rPr>
          <w:color w:val="auto"/>
          <w:highlight w:val="none"/>
          <w:u w:val="none"/>
        </w:rPr>
      </w:pPr>
      <w:r>
        <w:rPr>
          <w:color w:val="auto"/>
          <w:szCs w:val="21"/>
          <w:highlight w:val="none"/>
          <w:u w:val="none"/>
        </w:rPr>
        <w:t>2.投资者的义务</w:t>
      </w:r>
    </w:p>
    <w:p>
      <w:pPr>
        <w:pStyle w:val="81"/>
        <w:rPr>
          <w:color w:val="auto"/>
          <w:highlight w:val="none"/>
          <w:u w:val="none"/>
        </w:rPr>
      </w:pPr>
      <w:r>
        <w:rPr>
          <w:rFonts w:hint="eastAsia"/>
          <w:color w:val="auto"/>
          <w:szCs w:val="21"/>
          <w:highlight w:val="none"/>
          <w:u w:val="none"/>
        </w:rPr>
        <w:t>（</w:t>
      </w:r>
      <w:r>
        <w:rPr>
          <w:color w:val="auto"/>
          <w:szCs w:val="21"/>
          <w:highlight w:val="none"/>
          <w:u w:val="none"/>
        </w:rPr>
        <w:t>1）认真阅读基金合同，保证投资资金的来源及用途合法；</w:t>
      </w:r>
    </w:p>
    <w:p>
      <w:pPr>
        <w:pStyle w:val="81"/>
        <w:rPr>
          <w:color w:val="auto"/>
          <w:highlight w:val="none"/>
          <w:u w:val="none"/>
        </w:rPr>
      </w:pPr>
      <w:r>
        <w:rPr>
          <w:rFonts w:hint="eastAsia"/>
          <w:color w:val="auto"/>
          <w:szCs w:val="21"/>
          <w:highlight w:val="none"/>
          <w:u w:val="none"/>
        </w:rPr>
        <w:t>（</w:t>
      </w:r>
      <w:r>
        <w:rPr>
          <w:color w:val="auto"/>
          <w:szCs w:val="21"/>
          <w:highlight w:val="none"/>
          <w:u w:val="none"/>
        </w:rPr>
        <w:t>2）接受合格投资者认定程序，如实填写风险识别能力和承担能力问卷，如实承诺资产或者收入情况，并对其真实性、准确性和完整性负责，</w:t>
      </w:r>
      <w:r>
        <w:rPr>
          <w:rFonts w:hint="eastAsia"/>
          <w:color w:val="auto"/>
          <w:szCs w:val="21"/>
          <w:highlight w:val="none"/>
          <w:u w:val="none"/>
        </w:rPr>
        <w:t>承诺为合格投资者</w:t>
      </w:r>
      <w:r>
        <w:rPr>
          <w:color w:val="auto"/>
          <w:szCs w:val="21"/>
          <w:highlight w:val="none"/>
          <w:u w:val="none"/>
        </w:rPr>
        <w:t>；</w:t>
      </w:r>
    </w:p>
    <w:p>
      <w:pPr>
        <w:pStyle w:val="81"/>
        <w:rPr>
          <w:color w:val="auto"/>
          <w:highlight w:val="none"/>
          <w:u w:val="none"/>
        </w:rPr>
      </w:pPr>
      <w:r>
        <w:rPr>
          <w:rFonts w:hint="eastAsia"/>
          <w:color w:val="auto"/>
          <w:szCs w:val="21"/>
          <w:highlight w:val="none"/>
          <w:u w:val="none"/>
        </w:rPr>
        <w:t>（</w:t>
      </w:r>
      <w:r>
        <w:rPr>
          <w:color w:val="auto"/>
          <w:szCs w:val="21"/>
          <w:highlight w:val="none"/>
          <w:u w:val="none"/>
        </w:rPr>
        <w:t>3）以合伙企业、契约等非法人形式汇集多数投资者资金直接或者间接投资于私募基金的，应向管理人充分披露上述情况及最终投资者的信息，但符合《暂行办法》第十三条规定的除外；</w:t>
      </w:r>
    </w:p>
    <w:p>
      <w:pPr>
        <w:pStyle w:val="81"/>
        <w:rPr>
          <w:color w:val="auto"/>
          <w:szCs w:val="21"/>
          <w:highlight w:val="none"/>
          <w:u w:val="none"/>
        </w:rPr>
      </w:pPr>
      <w:r>
        <w:rPr>
          <w:rFonts w:hint="eastAsia"/>
          <w:color w:val="auto"/>
          <w:szCs w:val="21"/>
          <w:highlight w:val="none"/>
          <w:u w:val="none"/>
        </w:rPr>
        <w:t>（</w:t>
      </w:r>
      <w:r>
        <w:rPr>
          <w:color w:val="auto"/>
          <w:szCs w:val="21"/>
          <w:highlight w:val="none"/>
          <w:u w:val="none"/>
        </w:rPr>
        <w:t>4）认真阅读并签署风险揭示书；</w:t>
      </w:r>
    </w:p>
    <w:p>
      <w:pPr>
        <w:pStyle w:val="81"/>
        <w:rPr>
          <w:color w:val="auto"/>
          <w:szCs w:val="21"/>
          <w:highlight w:val="none"/>
          <w:u w:val="none"/>
        </w:rPr>
      </w:pPr>
      <w:r>
        <w:rPr>
          <w:rFonts w:hint="eastAsia"/>
          <w:color w:val="auto"/>
          <w:szCs w:val="21"/>
          <w:highlight w:val="none"/>
          <w:u w:val="none"/>
        </w:rPr>
        <w:t>（</w:t>
      </w:r>
      <w:r>
        <w:rPr>
          <w:color w:val="auto"/>
          <w:szCs w:val="21"/>
          <w:highlight w:val="none"/>
          <w:u w:val="none"/>
        </w:rPr>
        <w:t>5）按照基金合同约定缴纳基金份额的认购、申购款项，承担基金合同约定的管理费、托管费及其他相关费用；</w:t>
      </w:r>
    </w:p>
    <w:p>
      <w:pPr>
        <w:pStyle w:val="81"/>
        <w:rPr>
          <w:color w:val="auto"/>
          <w:highlight w:val="none"/>
          <w:u w:val="none"/>
        </w:rPr>
      </w:pPr>
      <w:r>
        <w:rPr>
          <w:rFonts w:hint="eastAsia"/>
          <w:color w:val="auto"/>
          <w:szCs w:val="21"/>
          <w:highlight w:val="none"/>
          <w:u w:val="none"/>
        </w:rPr>
        <w:t>（</w:t>
      </w:r>
      <w:r>
        <w:rPr>
          <w:color w:val="auto"/>
          <w:szCs w:val="21"/>
          <w:highlight w:val="none"/>
          <w:u w:val="none"/>
        </w:rPr>
        <w:t>6）按基金合同约定承担基金的投资损失；</w:t>
      </w:r>
    </w:p>
    <w:p>
      <w:pPr>
        <w:pStyle w:val="81"/>
        <w:rPr>
          <w:color w:val="auto"/>
          <w:highlight w:val="none"/>
          <w:u w:val="none"/>
        </w:rPr>
      </w:pPr>
      <w:r>
        <w:rPr>
          <w:rFonts w:hint="eastAsia"/>
          <w:color w:val="auto"/>
          <w:szCs w:val="21"/>
          <w:highlight w:val="none"/>
          <w:u w:val="none"/>
        </w:rPr>
        <w:t>（</w:t>
      </w:r>
      <w:r>
        <w:rPr>
          <w:color w:val="auto"/>
          <w:szCs w:val="21"/>
          <w:highlight w:val="none"/>
          <w:u w:val="none"/>
        </w:rPr>
        <w:t>7）向管理人或</w:t>
      </w:r>
      <w:r>
        <w:rPr>
          <w:rFonts w:hint="eastAsia"/>
          <w:color w:val="auto"/>
          <w:szCs w:val="21"/>
          <w:highlight w:val="none"/>
          <w:u w:val="none"/>
        </w:rPr>
        <w:t>募集</w:t>
      </w:r>
      <w:r>
        <w:rPr>
          <w:color w:val="auto"/>
          <w:szCs w:val="21"/>
          <w:highlight w:val="none"/>
          <w:u w:val="none"/>
        </w:rPr>
        <w:t>机构提供法律法规规定的信息资料及身份证明文件，配合管理人或</w:t>
      </w:r>
      <w:r>
        <w:rPr>
          <w:rFonts w:hint="eastAsia"/>
          <w:color w:val="auto"/>
          <w:szCs w:val="21"/>
          <w:highlight w:val="none"/>
          <w:u w:val="none"/>
        </w:rPr>
        <w:t>募集</w:t>
      </w:r>
      <w:r>
        <w:rPr>
          <w:color w:val="auto"/>
          <w:szCs w:val="21"/>
          <w:highlight w:val="none"/>
          <w:u w:val="none"/>
        </w:rPr>
        <w:t>机构的尽职调查与反洗钱工作；</w:t>
      </w:r>
    </w:p>
    <w:p>
      <w:pPr>
        <w:pStyle w:val="81"/>
        <w:rPr>
          <w:color w:val="auto"/>
          <w:highlight w:val="none"/>
          <w:u w:val="none"/>
        </w:rPr>
      </w:pPr>
      <w:r>
        <w:rPr>
          <w:rFonts w:hint="eastAsia"/>
          <w:color w:val="auto"/>
          <w:szCs w:val="21"/>
          <w:highlight w:val="none"/>
          <w:u w:val="none"/>
        </w:rPr>
        <w:t>（</w:t>
      </w:r>
      <w:r>
        <w:rPr>
          <w:color w:val="auto"/>
          <w:szCs w:val="21"/>
          <w:highlight w:val="none"/>
          <w:u w:val="none"/>
        </w:rPr>
        <w:t>8）保守商业秘密，不得泄露基金的投资计划或意向等；</w:t>
      </w:r>
    </w:p>
    <w:p>
      <w:pPr>
        <w:pStyle w:val="81"/>
        <w:rPr>
          <w:color w:val="auto"/>
          <w:highlight w:val="none"/>
          <w:u w:val="none"/>
        </w:rPr>
      </w:pPr>
      <w:r>
        <w:rPr>
          <w:rFonts w:hint="eastAsia"/>
          <w:color w:val="auto"/>
          <w:szCs w:val="21"/>
          <w:highlight w:val="none"/>
          <w:u w:val="none"/>
        </w:rPr>
        <w:t>（</w:t>
      </w:r>
      <w:r>
        <w:rPr>
          <w:color w:val="auto"/>
          <w:szCs w:val="21"/>
          <w:highlight w:val="none"/>
          <w:u w:val="none"/>
        </w:rPr>
        <w:t>9）不得违反基金合同的约定干涉管理人的投资行为；</w:t>
      </w:r>
    </w:p>
    <w:p>
      <w:pPr>
        <w:pStyle w:val="81"/>
        <w:rPr>
          <w:color w:val="auto"/>
          <w:highlight w:val="none"/>
          <w:u w:val="none"/>
        </w:rPr>
      </w:pPr>
      <w:r>
        <w:rPr>
          <w:rFonts w:hint="eastAsia"/>
          <w:color w:val="auto"/>
          <w:szCs w:val="21"/>
          <w:highlight w:val="none"/>
          <w:u w:val="none"/>
        </w:rPr>
        <w:t>（</w:t>
      </w:r>
      <w:r>
        <w:rPr>
          <w:color w:val="auto"/>
          <w:szCs w:val="21"/>
          <w:highlight w:val="none"/>
          <w:u w:val="none"/>
        </w:rPr>
        <w:t>10）不得从事任何有损基金及其投资者、管理人管理的其他基金及托管人托管的其他基金合法权益的活动；</w:t>
      </w:r>
    </w:p>
    <w:p>
      <w:pPr>
        <w:pStyle w:val="81"/>
        <w:rPr>
          <w:color w:val="auto"/>
          <w:highlight w:val="none"/>
          <w:u w:val="none"/>
        </w:rPr>
      </w:pPr>
      <w:r>
        <w:rPr>
          <w:rFonts w:hint="eastAsia"/>
          <w:color w:val="auto"/>
          <w:szCs w:val="21"/>
          <w:highlight w:val="none"/>
          <w:u w:val="none"/>
        </w:rPr>
        <w:t>（</w:t>
      </w:r>
      <w:r>
        <w:rPr>
          <w:color w:val="auto"/>
          <w:szCs w:val="21"/>
          <w:highlight w:val="none"/>
          <w:u w:val="none"/>
        </w:rPr>
        <w:t>11）法律法规、中国证监会及基金业协会规定和基金合同约定的其他义务。</w:t>
      </w:r>
    </w:p>
    <w:p>
      <w:pPr>
        <w:pStyle w:val="4"/>
        <w:snapToGrid/>
        <w:spacing w:beforeLines="100" w:afterLines="50"/>
        <w:rPr>
          <w:rFonts w:ascii="楷体" w:hAnsi="楷体" w:eastAsia="楷体"/>
          <w:color w:val="auto"/>
          <w:sz w:val="24"/>
          <w:highlight w:val="none"/>
          <w:u w:val="none"/>
        </w:rPr>
      </w:pPr>
      <w:bookmarkStart w:id="29" w:name="_Toc482974535"/>
      <w:bookmarkStart w:id="30" w:name="_Toc260056783"/>
      <w:bookmarkStart w:id="31" w:name="_Toc194741908"/>
      <w:r>
        <w:rPr>
          <w:rFonts w:ascii="楷体" w:hAnsi="楷体" w:eastAsia="楷体"/>
          <w:color w:val="auto"/>
          <w:sz w:val="24"/>
          <w:highlight w:val="none"/>
          <w:u w:val="none"/>
        </w:rPr>
        <w:t>第</w:t>
      </w:r>
      <w:r>
        <w:rPr>
          <w:rFonts w:hint="eastAsia" w:ascii="楷体" w:hAnsi="楷体" w:eastAsia="楷体"/>
          <w:color w:val="auto"/>
          <w:sz w:val="24"/>
          <w:highlight w:val="none"/>
          <w:u w:val="none"/>
        </w:rPr>
        <w:t>十一</w:t>
      </w:r>
      <w:r>
        <w:rPr>
          <w:rFonts w:ascii="楷体" w:hAnsi="楷体" w:eastAsia="楷体"/>
          <w:color w:val="auto"/>
          <w:sz w:val="24"/>
          <w:highlight w:val="none"/>
          <w:u w:val="none"/>
        </w:rPr>
        <w:t>节基金份额持有人大会</w:t>
      </w:r>
      <w:bookmarkEnd w:id="29"/>
    </w:p>
    <w:p>
      <w:pPr>
        <w:pStyle w:val="81"/>
        <w:rPr>
          <w:color w:val="auto"/>
          <w:highlight w:val="none"/>
          <w:u w:val="none"/>
        </w:rPr>
      </w:pPr>
      <w:r>
        <w:rPr>
          <w:color w:val="auto"/>
          <w:szCs w:val="21"/>
          <w:highlight w:val="none"/>
          <w:u w:val="none"/>
        </w:rPr>
        <w:t>(</w:t>
      </w:r>
      <w:r>
        <w:rPr>
          <w:rFonts w:hint="eastAsia"/>
          <w:color w:val="auto"/>
          <w:szCs w:val="21"/>
          <w:highlight w:val="none"/>
          <w:u w:val="none"/>
        </w:rPr>
        <w:t>一</w:t>
      </w:r>
      <w:r>
        <w:rPr>
          <w:color w:val="auto"/>
          <w:szCs w:val="21"/>
          <w:highlight w:val="none"/>
          <w:u w:val="none"/>
        </w:rPr>
        <w:t>)基金份额持有人大会的组成</w:t>
      </w:r>
    </w:p>
    <w:p>
      <w:pPr>
        <w:pStyle w:val="81"/>
        <w:rPr>
          <w:color w:val="auto"/>
          <w:highlight w:val="none"/>
          <w:u w:val="none"/>
        </w:rPr>
      </w:pPr>
      <w:r>
        <w:rPr>
          <w:color w:val="auto"/>
          <w:szCs w:val="21"/>
          <w:highlight w:val="none"/>
          <w:u w:val="none"/>
        </w:rPr>
        <w:t>基金份额持有人大会由全体基金份额持有人组成</w:t>
      </w:r>
      <w:r>
        <w:rPr>
          <w:rFonts w:hint="eastAsia"/>
          <w:color w:val="auto"/>
          <w:szCs w:val="21"/>
          <w:highlight w:val="none"/>
          <w:u w:val="none"/>
        </w:rPr>
        <w:t>。</w:t>
      </w:r>
    </w:p>
    <w:p>
      <w:pPr>
        <w:pStyle w:val="81"/>
        <w:rPr>
          <w:color w:val="auto"/>
          <w:highlight w:val="none"/>
          <w:u w:val="none"/>
        </w:rPr>
      </w:pPr>
      <w:r>
        <w:rPr>
          <w:color w:val="auto"/>
          <w:szCs w:val="21"/>
          <w:highlight w:val="none"/>
          <w:u w:val="none"/>
        </w:rPr>
        <w:t>(二)基金份额持有人大会的召开事由</w:t>
      </w:r>
    </w:p>
    <w:p>
      <w:pPr>
        <w:pStyle w:val="81"/>
        <w:rPr>
          <w:color w:val="auto"/>
          <w:highlight w:val="none"/>
          <w:u w:val="none"/>
        </w:rPr>
      </w:pPr>
      <w:r>
        <w:rPr>
          <w:color w:val="auto"/>
          <w:szCs w:val="21"/>
          <w:highlight w:val="none"/>
          <w:u w:val="none"/>
        </w:rPr>
        <w:t>本基金存续期间，</w:t>
      </w:r>
      <w:r>
        <w:rPr>
          <w:rFonts w:hint="eastAsia"/>
          <w:color w:val="auto"/>
          <w:szCs w:val="21"/>
          <w:highlight w:val="none"/>
          <w:u w:val="none"/>
        </w:rPr>
        <w:t>发生</w:t>
      </w:r>
      <w:r>
        <w:rPr>
          <w:color w:val="auto"/>
          <w:szCs w:val="21"/>
          <w:highlight w:val="none"/>
          <w:u w:val="none"/>
        </w:rPr>
        <w:t>下列任一情形的，应当召开基金份额持有人大会：</w:t>
      </w:r>
    </w:p>
    <w:p>
      <w:pPr>
        <w:pStyle w:val="81"/>
        <w:rPr>
          <w:color w:val="auto"/>
          <w:highlight w:val="none"/>
          <w:u w:val="none"/>
        </w:rPr>
      </w:pPr>
      <w:r>
        <w:rPr>
          <w:color w:val="auto"/>
          <w:szCs w:val="21"/>
          <w:highlight w:val="none"/>
          <w:u w:val="none"/>
        </w:rPr>
        <w:t>1.</w:t>
      </w:r>
      <w:r>
        <w:rPr>
          <w:rFonts w:hint="eastAsia"/>
          <w:color w:val="auto"/>
          <w:szCs w:val="21"/>
          <w:highlight w:val="none"/>
          <w:u w:val="none"/>
        </w:rPr>
        <w:t>管理人被依法取消资产管理资格或管理人失联超过</w:t>
      </w:r>
      <w:r>
        <w:rPr>
          <w:color w:val="auto"/>
          <w:szCs w:val="21"/>
          <w:highlight w:val="none"/>
          <w:u w:val="none"/>
        </w:rPr>
        <w:t>20个工作日；</w:t>
      </w:r>
    </w:p>
    <w:p>
      <w:pPr>
        <w:pStyle w:val="81"/>
        <w:rPr>
          <w:color w:val="auto"/>
          <w:highlight w:val="none"/>
          <w:u w:val="none"/>
        </w:rPr>
      </w:pPr>
      <w:r>
        <w:rPr>
          <w:color w:val="auto"/>
          <w:szCs w:val="21"/>
          <w:highlight w:val="none"/>
          <w:u w:val="none"/>
        </w:rPr>
        <w:t>2.</w:t>
      </w:r>
      <w:r>
        <w:rPr>
          <w:rFonts w:hint="eastAsia"/>
          <w:color w:val="auto"/>
          <w:szCs w:val="21"/>
          <w:highlight w:val="none"/>
          <w:u w:val="none"/>
        </w:rPr>
        <w:t>托管人被依法取消资产托管资格或托管人失联超过</w:t>
      </w:r>
      <w:r>
        <w:rPr>
          <w:color w:val="auto"/>
          <w:szCs w:val="21"/>
          <w:highlight w:val="none"/>
          <w:u w:val="none"/>
        </w:rPr>
        <w:t>20个工作日；</w:t>
      </w:r>
    </w:p>
    <w:p>
      <w:pPr>
        <w:pStyle w:val="81"/>
        <w:rPr>
          <w:color w:val="auto"/>
          <w:highlight w:val="none"/>
          <w:u w:val="none"/>
        </w:rPr>
      </w:pPr>
      <w:r>
        <w:rPr>
          <w:color w:val="auto"/>
          <w:szCs w:val="21"/>
          <w:highlight w:val="none"/>
          <w:u w:val="none"/>
        </w:rPr>
        <w:t>3.</w:t>
      </w:r>
      <w:r>
        <w:rPr>
          <w:rFonts w:hint="eastAsia"/>
          <w:color w:val="auto"/>
          <w:szCs w:val="21"/>
          <w:highlight w:val="none"/>
          <w:u w:val="none"/>
        </w:rPr>
        <w:t>决定修改基金合同的重要内容，本条款指的重要内容的修改包括如下条款：</w:t>
      </w:r>
    </w:p>
    <w:p>
      <w:pPr>
        <w:pStyle w:val="81"/>
        <w:rPr>
          <w:color w:val="auto"/>
          <w:highlight w:val="none"/>
          <w:u w:val="none"/>
        </w:rPr>
      </w:pPr>
      <w:r>
        <w:rPr>
          <w:rFonts w:hint="eastAsia"/>
          <w:color w:val="auto"/>
          <w:szCs w:val="21"/>
          <w:highlight w:val="none"/>
          <w:u w:val="none"/>
        </w:rPr>
        <w:t>（</w:t>
      </w:r>
      <w:r>
        <w:rPr>
          <w:color w:val="auto"/>
          <w:szCs w:val="21"/>
          <w:highlight w:val="none"/>
          <w:u w:val="none"/>
        </w:rPr>
        <w:t>1）</w:t>
      </w:r>
      <w:r>
        <w:rPr>
          <w:rFonts w:hint="eastAsia"/>
          <w:color w:val="auto"/>
          <w:szCs w:val="21"/>
          <w:highlight w:val="none"/>
          <w:u w:val="none"/>
        </w:rPr>
        <w:t>变更基金合同存续期限，但根据本合同约定的管理人有权单方决定的情形除外；</w:t>
      </w:r>
    </w:p>
    <w:p>
      <w:pPr>
        <w:pStyle w:val="81"/>
        <w:rPr>
          <w:color w:val="auto"/>
          <w:highlight w:val="none"/>
          <w:u w:val="none"/>
        </w:rPr>
      </w:pPr>
      <w:r>
        <w:rPr>
          <w:rFonts w:hint="eastAsia"/>
          <w:color w:val="auto"/>
          <w:szCs w:val="21"/>
          <w:highlight w:val="none"/>
          <w:u w:val="none"/>
        </w:rPr>
        <w:t>（</w:t>
      </w:r>
      <w:r>
        <w:rPr>
          <w:color w:val="auto"/>
          <w:szCs w:val="21"/>
          <w:highlight w:val="none"/>
          <w:u w:val="none"/>
        </w:rPr>
        <w:t>2）</w:t>
      </w:r>
      <w:r>
        <w:rPr>
          <w:rFonts w:hint="eastAsia"/>
          <w:color w:val="auto"/>
          <w:szCs w:val="21"/>
          <w:highlight w:val="none"/>
          <w:u w:val="none"/>
        </w:rPr>
        <w:t>更换管理人、托管人；</w:t>
      </w:r>
    </w:p>
    <w:p>
      <w:pPr>
        <w:pStyle w:val="81"/>
        <w:rPr>
          <w:color w:val="auto"/>
          <w:highlight w:val="none"/>
          <w:u w:val="none"/>
        </w:rPr>
      </w:pPr>
      <w:r>
        <w:rPr>
          <w:rFonts w:hint="eastAsia"/>
          <w:color w:val="auto"/>
          <w:szCs w:val="21"/>
          <w:highlight w:val="none"/>
          <w:u w:val="none"/>
        </w:rPr>
        <w:t>（</w:t>
      </w:r>
      <w:r>
        <w:rPr>
          <w:color w:val="auto"/>
          <w:szCs w:val="21"/>
          <w:highlight w:val="none"/>
          <w:u w:val="none"/>
        </w:rPr>
        <w:t>3）</w:t>
      </w:r>
      <w:r>
        <w:rPr>
          <w:rFonts w:hint="eastAsia"/>
          <w:color w:val="auto"/>
          <w:szCs w:val="21"/>
          <w:highlight w:val="none"/>
          <w:u w:val="none"/>
        </w:rPr>
        <w:t>变更预警线、止损线、或转换基金运作方式；</w:t>
      </w:r>
    </w:p>
    <w:p>
      <w:pPr>
        <w:pStyle w:val="81"/>
        <w:rPr>
          <w:color w:val="auto"/>
          <w:highlight w:val="none"/>
          <w:u w:val="none"/>
        </w:rPr>
      </w:pPr>
      <w:r>
        <w:rPr>
          <w:rFonts w:hint="eastAsia"/>
          <w:color w:val="auto"/>
          <w:szCs w:val="21"/>
          <w:highlight w:val="none"/>
          <w:u w:val="none"/>
        </w:rPr>
        <w:t>（</w:t>
      </w:r>
      <w:r>
        <w:rPr>
          <w:color w:val="auto"/>
          <w:szCs w:val="21"/>
          <w:highlight w:val="none"/>
          <w:u w:val="none"/>
        </w:rPr>
        <w:t>4）</w:t>
      </w:r>
      <w:r>
        <w:rPr>
          <w:rFonts w:hint="eastAsia"/>
          <w:color w:val="auto"/>
          <w:szCs w:val="21"/>
          <w:highlight w:val="none"/>
          <w:u w:val="none"/>
        </w:rPr>
        <w:t>本基金与其他基金合并；</w:t>
      </w:r>
    </w:p>
    <w:p>
      <w:pPr>
        <w:pStyle w:val="81"/>
        <w:rPr>
          <w:color w:val="auto"/>
          <w:highlight w:val="none"/>
          <w:u w:val="none"/>
        </w:rPr>
      </w:pPr>
      <w:r>
        <w:rPr>
          <w:rFonts w:hint="eastAsia"/>
          <w:color w:val="auto"/>
          <w:szCs w:val="21"/>
          <w:highlight w:val="none"/>
          <w:u w:val="none"/>
        </w:rPr>
        <w:t>（</w:t>
      </w:r>
      <w:r>
        <w:rPr>
          <w:color w:val="auto"/>
          <w:szCs w:val="21"/>
          <w:highlight w:val="none"/>
          <w:u w:val="none"/>
        </w:rPr>
        <w:t>5）</w:t>
      </w:r>
      <w:r>
        <w:rPr>
          <w:rFonts w:hint="eastAsia"/>
          <w:color w:val="auto"/>
          <w:szCs w:val="21"/>
          <w:highlight w:val="none"/>
          <w:u w:val="none"/>
        </w:rPr>
        <w:t>提高管理人、托管人的报酬标准；</w:t>
      </w:r>
    </w:p>
    <w:p>
      <w:pPr>
        <w:pStyle w:val="81"/>
        <w:rPr>
          <w:color w:val="auto"/>
          <w:highlight w:val="none"/>
          <w:u w:val="none"/>
        </w:rPr>
      </w:pPr>
      <w:r>
        <w:rPr>
          <w:color w:val="auto"/>
          <w:szCs w:val="21"/>
          <w:highlight w:val="none"/>
          <w:u w:val="none"/>
        </w:rPr>
        <w:t>4.法律法规、中国证监会、基金业协会规定及本合同约定的其他应当召开基金份额持有人大会的事项。</w:t>
      </w:r>
    </w:p>
    <w:p>
      <w:pPr>
        <w:pStyle w:val="81"/>
        <w:rPr>
          <w:color w:val="auto"/>
          <w:highlight w:val="none"/>
          <w:u w:val="none"/>
        </w:rPr>
      </w:pPr>
      <w:r>
        <w:rPr>
          <w:rFonts w:hint="eastAsia"/>
          <w:color w:val="auto"/>
          <w:szCs w:val="21"/>
          <w:highlight w:val="none"/>
          <w:u w:val="none"/>
        </w:rPr>
        <w:t>针对前款所列事项，基金份额持有人以书面形式一致表示同意的（包括通过签署补充协议的方式），</w:t>
      </w:r>
      <w:r>
        <w:rPr>
          <w:color w:val="auto"/>
          <w:szCs w:val="21"/>
          <w:highlight w:val="none"/>
          <w:u w:val="none"/>
        </w:rPr>
        <w:t>可以不召开</w:t>
      </w:r>
      <w:r>
        <w:rPr>
          <w:rFonts w:hint="eastAsia"/>
          <w:color w:val="auto"/>
          <w:szCs w:val="21"/>
          <w:highlight w:val="none"/>
          <w:u w:val="none"/>
        </w:rPr>
        <w:t>基金份额持有人大会直接做出决议</w:t>
      </w:r>
      <w:r>
        <w:rPr>
          <w:color w:val="auto"/>
          <w:szCs w:val="21"/>
          <w:highlight w:val="none"/>
          <w:u w:val="none"/>
        </w:rPr>
        <w:t>,</w:t>
      </w:r>
      <w:r>
        <w:rPr>
          <w:rFonts w:hint="eastAsia"/>
          <w:color w:val="auto"/>
          <w:szCs w:val="21"/>
          <w:highlight w:val="none"/>
          <w:u w:val="none"/>
        </w:rPr>
        <w:t>并由全体基金份额持有人在决议文件上签名、盖章。</w:t>
      </w:r>
    </w:p>
    <w:p>
      <w:pPr>
        <w:pStyle w:val="81"/>
        <w:rPr>
          <w:color w:val="auto"/>
          <w:highlight w:val="none"/>
          <w:u w:val="none"/>
        </w:rPr>
      </w:pPr>
      <w:r>
        <w:rPr>
          <w:rFonts w:hint="eastAsia"/>
          <w:color w:val="auto"/>
          <w:szCs w:val="21"/>
          <w:highlight w:val="none"/>
          <w:u w:val="none"/>
        </w:rPr>
        <w:t>基金份额持有人大会不得直接参与或者干涉基金的投资管理活动。</w:t>
      </w:r>
    </w:p>
    <w:p>
      <w:pPr>
        <w:pStyle w:val="81"/>
        <w:rPr>
          <w:color w:val="auto"/>
          <w:highlight w:val="none"/>
          <w:u w:val="none"/>
        </w:rPr>
      </w:pPr>
      <w:r>
        <w:rPr>
          <w:color w:val="auto"/>
          <w:szCs w:val="21"/>
          <w:highlight w:val="none"/>
          <w:u w:val="none"/>
        </w:rPr>
        <w:t>(三)基金份额持有人大会的召集</w:t>
      </w:r>
    </w:p>
    <w:p>
      <w:pPr>
        <w:pStyle w:val="81"/>
        <w:rPr>
          <w:color w:val="auto"/>
          <w:highlight w:val="none"/>
          <w:u w:val="none"/>
        </w:rPr>
      </w:pPr>
      <w:r>
        <w:rPr>
          <w:color w:val="auto"/>
          <w:szCs w:val="21"/>
          <w:highlight w:val="none"/>
          <w:u w:val="none"/>
        </w:rPr>
        <w:t>1.管理人召集</w:t>
      </w:r>
    </w:p>
    <w:p>
      <w:pPr>
        <w:pStyle w:val="81"/>
        <w:rPr>
          <w:color w:val="auto"/>
          <w:highlight w:val="none"/>
          <w:u w:val="none"/>
        </w:rPr>
      </w:pPr>
      <w:r>
        <w:rPr>
          <w:color w:val="auto"/>
          <w:szCs w:val="21"/>
          <w:highlight w:val="none"/>
          <w:u w:val="none"/>
        </w:rPr>
        <w:t>除法律法规规定或本合同另有约定外，基金份额持有人大会由管理人召集。</w:t>
      </w:r>
    </w:p>
    <w:p>
      <w:pPr>
        <w:pStyle w:val="81"/>
        <w:rPr>
          <w:color w:val="auto"/>
          <w:highlight w:val="none"/>
          <w:u w:val="none"/>
        </w:rPr>
      </w:pPr>
      <w:r>
        <w:rPr>
          <w:color w:val="auto"/>
          <w:szCs w:val="21"/>
          <w:highlight w:val="none"/>
          <w:u w:val="none"/>
        </w:rPr>
        <w:t>单独或合计持有基金份额</w:t>
      </w:r>
      <w:r>
        <w:rPr>
          <w:rFonts w:hint="eastAsia"/>
          <w:color w:val="auto"/>
          <w:szCs w:val="21"/>
          <w:highlight w:val="none"/>
          <w:u w:val="none"/>
        </w:rPr>
        <w:t>总数</w:t>
      </w:r>
      <w:r>
        <w:rPr>
          <w:color w:val="auto"/>
          <w:szCs w:val="21"/>
          <w:highlight w:val="none"/>
          <w:u w:val="none"/>
        </w:rPr>
        <w:t>10%以上（含10%）的基金份额持有人认为有必要召开基金份额持有人大会的，</w:t>
      </w:r>
      <w:r>
        <w:rPr>
          <w:rFonts w:hint="eastAsia"/>
          <w:color w:val="auto"/>
          <w:szCs w:val="21"/>
          <w:highlight w:val="none"/>
          <w:u w:val="none"/>
        </w:rPr>
        <w:t>可</w:t>
      </w:r>
      <w:r>
        <w:rPr>
          <w:color w:val="auto"/>
          <w:szCs w:val="21"/>
          <w:highlight w:val="none"/>
          <w:u w:val="none"/>
        </w:rPr>
        <w:t>向基金管理人提出书面提议。基金管理人应当自收到书面提议之日起10日内决定是否召集，并书面告知提出提议的基金份额持有人代表。基金管理人决定召集的，应当自出具书面决定之日起30日内召开；管理人决定不召集、或不能召集的，</w:t>
      </w:r>
      <w:r>
        <w:rPr>
          <w:rFonts w:hint="eastAsia"/>
          <w:color w:val="auto"/>
          <w:szCs w:val="21"/>
          <w:highlight w:val="none"/>
          <w:u w:val="none"/>
        </w:rPr>
        <w:t>应通知基金份额持有人。</w:t>
      </w:r>
    </w:p>
    <w:p>
      <w:pPr>
        <w:pStyle w:val="81"/>
        <w:rPr>
          <w:color w:val="auto"/>
          <w:highlight w:val="none"/>
          <w:u w:val="none"/>
        </w:rPr>
      </w:pPr>
      <w:r>
        <w:rPr>
          <w:color w:val="auto"/>
          <w:szCs w:val="21"/>
          <w:highlight w:val="none"/>
          <w:u w:val="none"/>
        </w:rPr>
        <w:t>2.基金份额持有人召集</w:t>
      </w:r>
    </w:p>
    <w:p>
      <w:pPr>
        <w:pStyle w:val="81"/>
        <w:rPr>
          <w:color w:val="auto"/>
          <w:highlight w:val="none"/>
          <w:u w:val="none"/>
        </w:rPr>
      </w:pPr>
      <w:r>
        <w:rPr>
          <w:rFonts w:hint="eastAsia"/>
          <w:color w:val="auto"/>
          <w:szCs w:val="21"/>
          <w:highlight w:val="none"/>
          <w:u w:val="none"/>
        </w:rPr>
        <w:t>（1）</w:t>
      </w:r>
      <w:r>
        <w:rPr>
          <w:color w:val="auto"/>
          <w:szCs w:val="21"/>
          <w:highlight w:val="none"/>
          <w:u w:val="none"/>
        </w:rPr>
        <w:t>单独</w:t>
      </w:r>
      <w:r>
        <w:rPr>
          <w:rFonts w:hint="eastAsia"/>
          <w:color w:val="auto"/>
          <w:szCs w:val="21"/>
          <w:highlight w:val="none"/>
          <w:u w:val="none"/>
        </w:rPr>
        <w:t>或</w:t>
      </w:r>
      <w:r>
        <w:rPr>
          <w:color w:val="auto"/>
          <w:szCs w:val="21"/>
          <w:highlight w:val="none"/>
          <w:u w:val="none"/>
        </w:rPr>
        <w:t>合计持有基金份额</w:t>
      </w:r>
      <w:r>
        <w:rPr>
          <w:rFonts w:hint="eastAsia"/>
          <w:color w:val="auto"/>
          <w:szCs w:val="21"/>
          <w:highlight w:val="none"/>
          <w:u w:val="none"/>
        </w:rPr>
        <w:t>总数</w:t>
      </w:r>
      <w:r>
        <w:rPr>
          <w:color w:val="auto"/>
          <w:szCs w:val="21"/>
          <w:highlight w:val="none"/>
          <w:u w:val="none"/>
        </w:rPr>
        <w:t>10%以上（含10%）的基金份额持有人认为有必要召开基金份额持有人大会的，有权自行召集。</w:t>
      </w:r>
    </w:p>
    <w:p>
      <w:pPr>
        <w:pStyle w:val="81"/>
        <w:rPr>
          <w:color w:val="auto"/>
          <w:highlight w:val="none"/>
          <w:u w:val="none"/>
        </w:rPr>
      </w:pPr>
      <w:r>
        <w:rPr>
          <w:rFonts w:hint="eastAsia"/>
          <w:color w:val="auto"/>
          <w:szCs w:val="21"/>
          <w:highlight w:val="none"/>
          <w:u w:val="none"/>
        </w:rPr>
        <w:t>（2）</w:t>
      </w:r>
      <w:r>
        <w:rPr>
          <w:color w:val="auto"/>
          <w:szCs w:val="21"/>
          <w:highlight w:val="none"/>
          <w:u w:val="none"/>
        </w:rPr>
        <w:t>基金份额持有人依法自行召集基金份额持有人大会的，应于会议召开前10个工作日通知管理人</w:t>
      </w:r>
      <w:r>
        <w:rPr>
          <w:rFonts w:hint="eastAsia"/>
          <w:color w:val="auto"/>
          <w:szCs w:val="21"/>
          <w:highlight w:val="none"/>
          <w:u w:val="none"/>
        </w:rPr>
        <w:t>、注册登记机构</w:t>
      </w:r>
      <w:r>
        <w:rPr>
          <w:color w:val="auto"/>
          <w:szCs w:val="21"/>
          <w:highlight w:val="none"/>
          <w:u w:val="none"/>
        </w:rPr>
        <w:t>和托管人，管理人</w:t>
      </w:r>
      <w:r>
        <w:rPr>
          <w:rFonts w:hint="eastAsia"/>
          <w:color w:val="auto"/>
          <w:szCs w:val="21"/>
          <w:highlight w:val="none"/>
          <w:u w:val="none"/>
        </w:rPr>
        <w:t>或注册登记机构</w:t>
      </w:r>
      <w:r>
        <w:rPr>
          <w:color w:val="auto"/>
          <w:szCs w:val="21"/>
          <w:highlight w:val="none"/>
          <w:u w:val="none"/>
        </w:rPr>
        <w:t>应于收到前述通知之日起10个工作日内向上述基金份额持有人提供基金份额持有人的名单。</w:t>
      </w:r>
    </w:p>
    <w:p>
      <w:pPr>
        <w:pStyle w:val="81"/>
        <w:rPr>
          <w:color w:val="auto"/>
          <w:highlight w:val="none"/>
          <w:u w:val="none"/>
        </w:rPr>
      </w:pPr>
      <w:r>
        <w:rPr>
          <w:color w:val="auto"/>
          <w:szCs w:val="21"/>
          <w:highlight w:val="none"/>
          <w:u w:val="none"/>
        </w:rPr>
        <w:t>3.</w:t>
      </w:r>
      <w:r>
        <w:rPr>
          <w:rFonts w:hint="eastAsia"/>
          <w:color w:val="auto"/>
          <w:szCs w:val="21"/>
          <w:highlight w:val="none"/>
          <w:u w:val="none"/>
        </w:rPr>
        <w:t>托管人</w:t>
      </w:r>
      <w:r>
        <w:rPr>
          <w:color w:val="auto"/>
          <w:szCs w:val="21"/>
          <w:highlight w:val="none"/>
          <w:u w:val="none"/>
        </w:rPr>
        <w:t>召集</w:t>
      </w:r>
    </w:p>
    <w:p>
      <w:pPr>
        <w:pStyle w:val="81"/>
        <w:rPr>
          <w:color w:val="auto"/>
          <w:highlight w:val="none"/>
          <w:u w:val="none"/>
        </w:rPr>
      </w:pPr>
      <w:r>
        <w:rPr>
          <w:rFonts w:hint="eastAsia"/>
          <w:color w:val="auto"/>
          <w:szCs w:val="21"/>
          <w:highlight w:val="none"/>
          <w:u w:val="none"/>
        </w:rPr>
        <w:t>如出现管理人被依法取消私募基金管理人资格或管理人失联的情形时，托管人有权召集基金份额持有人大会。</w:t>
      </w:r>
    </w:p>
    <w:p>
      <w:pPr>
        <w:pStyle w:val="81"/>
        <w:rPr>
          <w:color w:val="auto"/>
          <w:highlight w:val="none"/>
          <w:u w:val="none"/>
        </w:rPr>
      </w:pPr>
      <w:r>
        <w:rPr>
          <w:color w:val="auto"/>
          <w:szCs w:val="21"/>
          <w:highlight w:val="none"/>
          <w:u w:val="none"/>
        </w:rPr>
        <w:t>(四)通知</w:t>
      </w:r>
    </w:p>
    <w:p>
      <w:pPr>
        <w:pStyle w:val="81"/>
        <w:rPr>
          <w:color w:val="auto"/>
          <w:highlight w:val="none"/>
          <w:u w:val="none"/>
        </w:rPr>
      </w:pPr>
      <w:r>
        <w:rPr>
          <w:color w:val="auto"/>
          <w:szCs w:val="21"/>
          <w:highlight w:val="none"/>
          <w:u w:val="none"/>
        </w:rPr>
        <w:t>1.召开基金份额持有人大会，召集人最迟应于会议召开前10个工作日通知全体基金份额持有人。基金份额持有人大会通知应至少载明以下内容：</w:t>
      </w:r>
    </w:p>
    <w:p>
      <w:pPr>
        <w:pStyle w:val="81"/>
        <w:rPr>
          <w:color w:val="auto"/>
          <w:szCs w:val="21"/>
          <w:highlight w:val="none"/>
          <w:u w:val="none"/>
        </w:rPr>
      </w:pPr>
      <w:r>
        <w:rPr>
          <w:rFonts w:hint="eastAsia"/>
          <w:color w:val="auto"/>
          <w:szCs w:val="21"/>
          <w:highlight w:val="none"/>
          <w:u w:val="none"/>
        </w:rPr>
        <w:t>（3）</w:t>
      </w:r>
      <w:r>
        <w:rPr>
          <w:color w:val="auto"/>
          <w:szCs w:val="21"/>
          <w:highlight w:val="none"/>
          <w:u w:val="none"/>
        </w:rPr>
        <w:t>会议召开的时间、地点和出席方式；</w:t>
      </w:r>
    </w:p>
    <w:p>
      <w:pPr>
        <w:pStyle w:val="81"/>
        <w:rPr>
          <w:color w:val="auto"/>
          <w:szCs w:val="21"/>
          <w:highlight w:val="none"/>
          <w:u w:val="none"/>
        </w:rPr>
      </w:pPr>
      <w:r>
        <w:rPr>
          <w:rFonts w:hint="eastAsia"/>
          <w:color w:val="auto"/>
          <w:szCs w:val="21"/>
          <w:highlight w:val="none"/>
          <w:u w:val="none"/>
        </w:rPr>
        <w:t>（4）</w:t>
      </w:r>
      <w:r>
        <w:rPr>
          <w:color w:val="auto"/>
          <w:szCs w:val="21"/>
          <w:highlight w:val="none"/>
          <w:u w:val="none"/>
        </w:rPr>
        <w:t>会议拟审议的主要事项、议事程序和表决方式；</w:t>
      </w:r>
    </w:p>
    <w:p>
      <w:pPr>
        <w:pStyle w:val="81"/>
        <w:rPr>
          <w:color w:val="auto"/>
          <w:highlight w:val="none"/>
          <w:u w:val="none"/>
        </w:rPr>
      </w:pPr>
      <w:r>
        <w:rPr>
          <w:rFonts w:hint="eastAsia"/>
          <w:color w:val="auto"/>
          <w:szCs w:val="21"/>
          <w:highlight w:val="none"/>
          <w:u w:val="none"/>
        </w:rPr>
        <w:t>（5）</w:t>
      </w:r>
      <w:r>
        <w:rPr>
          <w:color w:val="auto"/>
          <w:szCs w:val="21"/>
          <w:highlight w:val="none"/>
          <w:u w:val="none"/>
        </w:rPr>
        <w:t>代理投票授权委托书的内容要求（包括但不限于授权代表身份、代理权限和代理有效期限等）、送达的期限、地点；</w:t>
      </w:r>
    </w:p>
    <w:p>
      <w:pPr>
        <w:pStyle w:val="81"/>
        <w:rPr>
          <w:color w:val="auto"/>
          <w:highlight w:val="none"/>
          <w:u w:val="none"/>
        </w:rPr>
      </w:pPr>
      <w:r>
        <w:rPr>
          <w:rFonts w:hint="eastAsia"/>
          <w:color w:val="auto"/>
          <w:szCs w:val="21"/>
          <w:highlight w:val="none"/>
          <w:u w:val="none"/>
        </w:rPr>
        <w:t>（6）</w:t>
      </w:r>
      <w:r>
        <w:rPr>
          <w:color w:val="auto"/>
          <w:szCs w:val="21"/>
          <w:highlight w:val="none"/>
          <w:u w:val="none"/>
        </w:rPr>
        <w:t>会务联系人姓名、电话及其他联系方式；</w:t>
      </w:r>
    </w:p>
    <w:p>
      <w:pPr>
        <w:pStyle w:val="81"/>
        <w:rPr>
          <w:color w:val="auto"/>
          <w:highlight w:val="none"/>
          <w:u w:val="none"/>
        </w:rPr>
      </w:pPr>
      <w:r>
        <w:rPr>
          <w:rFonts w:hint="eastAsia"/>
          <w:color w:val="auto"/>
          <w:szCs w:val="21"/>
          <w:highlight w:val="none"/>
          <w:u w:val="none"/>
        </w:rPr>
        <w:t>（7）</w:t>
      </w:r>
      <w:r>
        <w:rPr>
          <w:color w:val="auto"/>
          <w:szCs w:val="21"/>
          <w:highlight w:val="none"/>
          <w:u w:val="none"/>
        </w:rPr>
        <w:t>出席会议者必须准备的文件和必须履行的手续；</w:t>
      </w:r>
    </w:p>
    <w:p>
      <w:pPr>
        <w:pStyle w:val="81"/>
        <w:rPr>
          <w:color w:val="auto"/>
          <w:highlight w:val="none"/>
          <w:u w:val="none"/>
        </w:rPr>
      </w:pPr>
      <w:r>
        <w:rPr>
          <w:rFonts w:hint="eastAsia"/>
          <w:color w:val="auto"/>
          <w:szCs w:val="21"/>
          <w:highlight w:val="none"/>
          <w:u w:val="none"/>
        </w:rPr>
        <w:t>（8）</w:t>
      </w:r>
      <w:r>
        <w:rPr>
          <w:color w:val="auto"/>
          <w:szCs w:val="21"/>
          <w:highlight w:val="none"/>
          <w:u w:val="none"/>
        </w:rPr>
        <w:t>召集人需要通知的其他事项。</w:t>
      </w:r>
    </w:p>
    <w:p>
      <w:pPr>
        <w:pStyle w:val="81"/>
        <w:rPr>
          <w:color w:val="auto"/>
          <w:highlight w:val="none"/>
          <w:u w:val="none"/>
        </w:rPr>
      </w:pPr>
      <w:r>
        <w:rPr>
          <w:color w:val="auto"/>
          <w:szCs w:val="21"/>
          <w:highlight w:val="none"/>
          <w:u w:val="none"/>
        </w:rPr>
        <w:t>2.采取通讯方式开会并进行表决的情况下，由召集人决定通讯方式和书面表决方式，并在会议通知中说明本次基金份额持有人大会所采取的具体通讯方式、委托的公证机关</w:t>
      </w:r>
      <w:r>
        <w:rPr>
          <w:rFonts w:hint="eastAsia"/>
          <w:color w:val="auto"/>
          <w:szCs w:val="21"/>
          <w:highlight w:val="none"/>
          <w:u w:val="none"/>
        </w:rPr>
        <w:t>（如有）</w:t>
      </w:r>
      <w:r>
        <w:rPr>
          <w:color w:val="auto"/>
          <w:szCs w:val="21"/>
          <w:highlight w:val="none"/>
          <w:u w:val="none"/>
        </w:rPr>
        <w:t>及其联系方式和联系人、表决的截止日期、书面表决意见的寄交时间和收取方式等事项。</w:t>
      </w:r>
    </w:p>
    <w:p>
      <w:pPr>
        <w:pStyle w:val="81"/>
        <w:rPr>
          <w:color w:val="auto"/>
          <w:highlight w:val="none"/>
          <w:u w:val="none"/>
        </w:rPr>
      </w:pPr>
      <w:r>
        <w:rPr>
          <w:color w:val="auto"/>
          <w:szCs w:val="21"/>
          <w:highlight w:val="none"/>
          <w:u w:val="none"/>
        </w:rPr>
        <w:t>(五)召开方式</w:t>
      </w:r>
    </w:p>
    <w:p>
      <w:pPr>
        <w:pStyle w:val="81"/>
        <w:rPr>
          <w:color w:val="auto"/>
          <w:highlight w:val="none"/>
          <w:u w:val="none"/>
        </w:rPr>
      </w:pPr>
      <w:r>
        <w:rPr>
          <w:color w:val="auto"/>
          <w:szCs w:val="21"/>
          <w:highlight w:val="none"/>
          <w:u w:val="none"/>
        </w:rPr>
        <w:t>1.基金份额持有人大会的召开方式包括现场方式和通讯方式，具体召开方式由召集人决定。</w:t>
      </w:r>
    </w:p>
    <w:p>
      <w:pPr>
        <w:pStyle w:val="81"/>
        <w:rPr>
          <w:color w:val="auto"/>
          <w:highlight w:val="none"/>
          <w:u w:val="none"/>
        </w:rPr>
      </w:pPr>
      <w:r>
        <w:rPr>
          <w:color w:val="auto"/>
          <w:szCs w:val="21"/>
          <w:highlight w:val="none"/>
          <w:u w:val="none"/>
        </w:rPr>
        <w:t>2.现场开会的，基金份额持有人应亲自或委派授权代表出席会议并按本合同约定行使表决权，授权代表参会前应向召集人出具授权委托书。管理人、托管人的授权代表应当列席会议。</w:t>
      </w:r>
    </w:p>
    <w:p>
      <w:pPr>
        <w:pStyle w:val="81"/>
        <w:rPr>
          <w:color w:val="auto"/>
          <w:highlight w:val="none"/>
          <w:u w:val="none"/>
        </w:rPr>
      </w:pPr>
      <w:r>
        <w:rPr>
          <w:color w:val="auto"/>
          <w:szCs w:val="21"/>
          <w:highlight w:val="none"/>
          <w:u w:val="none"/>
        </w:rPr>
        <w:t>3.以通讯方式开会的，基金份额持有人应当以书面方式进行表决。基金份额持有人出具书面表决意见并送达给基金管理人的</w:t>
      </w:r>
      <w:r>
        <w:rPr>
          <w:rFonts w:hint="eastAsia"/>
          <w:color w:val="auto"/>
          <w:szCs w:val="21"/>
          <w:highlight w:val="none"/>
          <w:u w:val="none"/>
        </w:rPr>
        <w:t>（在托管人召集会议的情形下，应送达给托管人）</w:t>
      </w:r>
      <w:r>
        <w:rPr>
          <w:color w:val="auto"/>
          <w:szCs w:val="21"/>
          <w:highlight w:val="none"/>
          <w:u w:val="none"/>
        </w:rPr>
        <w:t>，视为出席了会议。</w:t>
      </w:r>
    </w:p>
    <w:p>
      <w:pPr>
        <w:pStyle w:val="81"/>
        <w:rPr>
          <w:color w:val="auto"/>
          <w:highlight w:val="none"/>
          <w:u w:val="none"/>
        </w:rPr>
      </w:pPr>
      <w:r>
        <w:rPr>
          <w:color w:val="auto"/>
          <w:szCs w:val="21"/>
          <w:highlight w:val="none"/>
          <w:u w:val="none"/>
        </w:rPr>
        <w:t>(六)基金份额持有人大会召开的条件</w:t>
      </w:r>
    </w:p>
    <w:p>
      <w:pPr>
        <w:pStyle w:val="81"/>
        <w:rPr>
          <w:color w:val="auto"/>
          <w:highlight w:val="none"/>
          <w:u w:val="none"/>
        </w:rPr>
      </w:pPr>
      <w:r>
        <w:rPr>
          <w:color w:val="auto"/>
          <w:szCs w:val="21"/>
          <w:highlight w:val="none"/>
          <w:u w:val="none"/>
        </w:rPr>
        <w:t>1.现场开会</w:t>
      </w:r>
    </w:p>
    <w:p>
      <w:pPr>
        <w:pStyle w:val="81"/>
        <w:rPr>
          <w:color w:val="auto"/>
          <w:highlight w:val="none"/>
          <w:u w:val="none"/>
        </w:rPr>
      </w:pPr>
      <w:r>
        <w:rPr>
          <w:rFonts w:hint="eastAsia"/>
          <w:color w:val="auto"/>
          <w:szCs w:val="21"/>
          <w:highlight w:val="none"/>
          <w:u w:val="none"/>
        </w:rPr>
        <w:t>代表会议</w:t>
      </w:r>
      <w:r>
        <w:rPr>
          <w:color w:val="auto"/>
          <w:szCs w:val="21"/>
          <w:highlight w:val="none"/>
          <w:u w:val="none"/>
        </w:rPr>
        <w:t>召开日基金份额总数二分之一以上（含二分之一）的基金份额持有人（或代表）出席会议，现场会议方可举行。未能满足上述条件的情况下，召集人应另行确定并通知基金份额持有人重新开会的时间和地点。</w:t>
      </w:r>
    </w:p>
    <w:p>
      <w:pPr>
        <w:pStyle w:val="81"/>
        <w:rPr>
          <w:color w:val="auto"/>
          <w:szCs w:val="21"/>
          <w:highlight w:val="none"/>
          <w:u w:val="none"/>
        </w:rPr>
      </w:pPr>
      <w:r>
        <w:rPr>
          <w:color w:val="auto"/>
          <w:szCs w:val="21"/>
          <w:highlight w:val="none"/>
          <w:u w:val="none"/>
        </w:rPr>
        <w:t>2.通讯方式开会</w:t>
      </w:r>
    </w:p>
    <w:p>
      <w:pPr>
        <w:pStyle w:val="81"/>
        <w:rPr>
          <w:color w:val="auto"/>
          <w:szCs w:val="21"/>
          <w:highlight w:val="none"/>
          <w:u w:val="none"/>
        </w:rPr>
      </w:pPr>
      <w:r>
        <w:rPr>
          <w:color w:val="auto"/>
          <w:szCs w:val="21"/>
          <w:highlight w:val="none"/>
          <w:u w:val="none"/>
        </w:rPr>
        <w:t>出具书面意见的基金份额持有人持有的基金份额占</w:t>
      </w:r>
      <w:r>
        <w:rPr>
          <w:rFonts w:hint="eastAsia"/>
          <w:color w:val="auto"/>
          <w:szCs w:val="21"/>
          <w:highlight w:val="none"/>
          <w:u w:val="none"/>
        </w:rPr>
        <w:t>会议</w:t>
      </w:r>
      <w:r>
        <w:rPr>
          <w:color w:val="auto"/>
          <w:szCs w:val="21"/>
          <w:highlight w:val="none"/>
          <w:u w:val="none"/>
        </w:rPr>
        <w:t>召开日基金份额总数二分之一以上（含二分之一）的，</w:t>
      </w:r>
      <w:r>
        <w:rPr>
          <w:rFonts w:hint="eastAsia"/>
          <w:color w:val="auto"/>
          <w:szCs w:val="21"/>
          <w:highlight w:val="none"/>
          <w:u w:val="none"/>
        </w:rPr>
        <w:t>通讯会议</w:t>
      </w:r>
      <w:r>
        <w:rPr>
          <w:rFonts w:hint="eastAsia"/>
          <w:color w:val="auto"/>
          <w:highlight w:val="none"/>
          <w:u w:val="none"/>
        </w:rPr>
        <w:t>方可举行</w:t>
      </w:r>
      <w:r>
        <w:rPr>
          <w:color w:val="auto"/>
          <w:szCs w:val="21"/>
          <w:highlight w:val="none"/>
          <w:u w:val="none"/>
        </w:rPr>
        <w:t>。未能满足上述条件的情况下，召集人应另行确定并通知基金份额持有人重新开会的时间。</w:t>
      </w:r>
    </w:p>
    <w:p>
      <w:pPr>
        <w:pStyle w:val="81"/>
        <w:rPr>
          <w:color w:val="auto"/>
          <w:szCs w:val="21"/>
          <w:highlight w:val="none"/>
          <w:u w:val="none"/>
        </w:rPr>
      </w:pPr>
      <w:r>
        <w:rPr>
          <w:color w:val="auto"/>
          <w:szCs w:val="21"/>
          <w:highlight w:val="none"/>
          <w:u w:val="none"/>
        </w:rPr>
        <w:t>(七)议事程序</w:t>
      </w:r>
    </w:p>
    <w:p>
      <w:pPr>
        <w:pStyle w:val="81"/>
        <w:rPr>
          <w:color w:val="auto"/>
          <w:szCs w:val="21"/>
          <w:highlight w:val="none"/>
          <w:u w:val="none"/>
        </w:rPr>
      </w:pPr>
      <w:r>
        <w:rPr>
          <w:color w:val="auto"/>
          <w:szCs w:val="21"/>
          <w:highlight w:val="none"/>
          <w:u w:val="none"/>
        </w:rPr>
        <w:t>1.现场方式</w:t>
      </w:r>
    </w:p>
    <w:p>
      <w:pPr>
        <w:pStyle w:val="81"/>
        <w:rPr>
          <w:color w:val="auto"/>
          <w:highlight w:val="none"/>
          <w:u w:val="none"/>
        </w:rPr>
      </w:pPr>
      <w:r>
        <w:rPr>
          <w:rFonts w:hint="eastAsia"/>
          <w:color w:val="auto"/>
          <w:szCs w:val="21"/>
          <w:highlight w:val="none"/>
          <w:u w:val="none"/>
        </w:rPr>
        <w:t>（1）</w:t>
      </w:r>
      <w:r>
        <w:rPr>
          <w:color w:val="auto"/>
          <w:szCs w:val="21"/>
          <w:highlight w:val="none"/>
          <w:u w:val="none"/>
        </w:rPr>
        <w:t>会议由管理人授权出席会议的代表主持召开。在管理人未能召集会议的情况下，由出席会议的基金份额持有人所代表的基金份额二分之一以上多数（不含二分之一）选举产生一名代表作为该次基金份额持有人大会的主持人。</w:t>
      </w:r>
    </w:p>
    <w:p>
      <w:pPr>
        <w:pStyle w:val="81"/>
        <w:rPr>
          <w:color w:val="auto"/>
          <w:highlight w:val="none"/>
          <w:u w:val="none"/>
        </w:rPr>
      </w:pPr>
      <w:r>
        <w:rPr>
          <w:rFonts w:hint="eastAsia"/>
          <w:color w:val="auto"/>
          <w:szCs w:val="21"/>
          <w:highlight w:val="none"/>
          <w:u w:val="none"/>
        </w:rPr>
        <w:t>（2）</w:t>
      </w:r>
      <w:r>
        <w:rPr>
          <w:color w:val="auto"/>
          <w:szCs w:val="21"/>
          <w:highlight w:val="none"/>
          <w:u w:val="none"/>
        </w:rPr>
        <w:t>会议主持人应当在会议开始后宣布在出席会议的基金份额持有人中选举两名基金份额持有人的授权代表担任监票人。</w:t>
      </w:r>
    </w:p>
    <w:p>
      <w:pPr>
        <w:pStyle w:val="81"/>
        <w:rPr>
          <w:color w:val="auto"/>
          <w:highlight w:val="none"/>
          <w:u w:val="none"/>
        </w:rPr>
      </w:pPr>
      <w:r>
        <w:rPr>
          <w:rFonts w:hint="eastAsia"/>
          <w:color w:val="auto"/>
          <w:szCs w:val="21"/>
          <w:highlight w:val="none"/>
          <w:u w:val="none"/>
        </w:rPr>
        <w:t>（3）</w:t>
      </w:r>
      <w:r>
        <w:rPr>
          <w:color w:val="auto"/>
          <w:szCs w:val="21"/>
          <w:highlight w:val="none"/>
          <w:u w:val="none"/>
        </w:rPr>
        <w:t>会议主持人宣读提案，出席会议的基金份额持有人讨论并进行表决。</w:t>
      </w:r>
    </w:p>
    <w:p>
      <w:pPr>
        <w:pStyle w:val="81"/>
        <w:rPr>
          <w:color w:val="auto"/>
          <w:highlight w:val="none"/>
          <w:u w:val="none"/>
        </w:rPr>
      </w:pPr>
      <w:r>
        <w:rPr>
          <w:rFonts w:hint="eastAsia"/>
          <w:color w:val="auto"/>
          <w:szCs w:val="21"/>
          <w:highlight w:val="none"/>
          <w:u w:val="none"/>
        </w:rPr>
        <w:t>（4）</w:t>
      </w:r>
      <w:r>
        <w:rPr>
          <w:color w:val="auto"/>
          <w:szCs w:val="21"/>
          <w:highlight w:val="none"/>
          <w:u w:val="none"/>
        </w:rPr>
        <w:t>监票人应当在基金份额持有人表决后立即进行清点并由大会主持人当场公布计票结果。如果会议主持人对于提交的表决结果有怀疑，可以对所投票数进行重新清点；如果会议主持人未进行重新清点，而出席会议的基金份额持有人对会议主持人宣布的表决结果有异议，有权在宣布表决结果后立即要求重新清点，会议主持人应当立即重新清点并公布重新清点结果。重新清点仅限一次。</w:t>
      </w:r>
    </w:p>
    <w:p>
      <w:pPr>
        <w:pStyle w:val="81"/>
        <w:rPr>
          <w:color w:val="auto"/>
          <w:highlight w:val="none"/>
          <w:u w:val="none"/>
        </w:rPr>
      </w:pPr>
      <w:r>
        <w:rPr>
          <w:rFonts w:hint="eastAsia"/>
          <w:color w:val="auto"/>
          <w:szCs w:val="21"/>
          <w:highlight w:val="none"/>
          <w:u w:val="none"/>
        </w:rPr>
        <w:t>（5）</w:t>
      </w:r>
      <w:r>
        <w:rPr>
          <w:color w:val="auto"/>
          <w:szCs w:val="21"/>
          <w:highlight w:val="none"/>
          <w:u w:val="none"/>
        </w:rPr>
        <w:t>会议主持人应指定专人制作会议纪要，会议纪要应详细记录大会召开的时间、地点、出席人名单、议题和大会讨论和通过或否决的决议，并由会议主持人签名</w:t>
      </w:r>
      <w:r>
        <w:rPr>
          <w:color w:val="auto"/>
          <w:kern w:val="28"/>
          <w:szCs w:val="21"/>
          <w:highlight w:val="none"/>
          <w:u w:val="none"/>
        </w:rPr>
        <w:t>。</w:t>
      </w:r>
    </w:p>
    <w:p>
      <w:pPr>
        <w:pStyle w:val="81"/>
        <w:rPr>
          <w:color w:val="auto"/>
          <w:highlight w:val="none"/>
          <w:u w:val="none"/>
        </w:rPr>
      </w:pPr>
      <w:r>
        <w:rPr>
          <w:color w:val="auto"/>
          <w:szCs w:val="21"/>
          <w:highlight w:val="none"/>
          <w:u w:val="none"/>
        </w:rPr>
        <w:t>2.通讯方式</w:t>
      </w:r>
    </w:p>
    <w:p>
      <w:pPr>
        <w:pStyle w:val="81"/>
        <w:rPr>
          <w:color w:val="auto"/>
          <w:highlight w:val="none"/>
          <w:u w:val="none"/>
        </w:rPr>
      </w:pPr>
      <w:r>
        <w:rPr>
          <w:rFonts w:hint="eastAsia"/>
          <w:color w:val="auto"/>
          <w:szCs w:val="21"/>
          <w:highlight w:val="none"/>
          <w:u w:val="none"/>
        </w:rPr>
        <w:t>（1）</w:t>
      </w:r>
      <w:r>
        <w:rPr>
          <w:color w:val="auto"/>
          <w:szCs w:val="21"/>
          <w:highlight w:val="none"/>
          <w:u w:val="none"/>
        </w:rPr>
        <w:t>召集人在公证机关的监督下按照会议通知规定的方式收取基金份额持有人的书面表决意见；</w:t>
      </w:r>
    </w:p>
    <w:p>
      <w:pPr>
        <w:pStyle w:val="81"/>
        <w:rPr>
          <w:color w:val="auto"/>
          <w:highlight w:val="none"/>
          <w:u w:val="none"/>
        </w:rPr>
      </w:pPr>
      <w:r>
        <w:rPr>
          <w:rFonts w:hint="eastAsia"/>
          <w:color w:val="auto"/>
          <w:szCs w:val="21"/>
          <w:highlight w:val="none"/>
          <w:u w:val="none"/>
        </w:rPr>
        <w:t>（2）</w:t>
      </w:r>
      <w:r>
        <w:rPr>
          <w:color w:val="auto"/>
          <w:szCs w:val="21"/>
          <w:highlight w:val="none"/>
          <w:u w:val="none"/>
        </w:rPr>
        <w:t>召集人在所通知的表决截止日期次日在公证机关监督下统计全部有效表决并形成决议。符合会议通知约定的书面表决意见视为有效表决。表决意见模糊不清或相互矛盾的视为弃权表决，但应当计入出具书面意见的基金份额持有人所代表的基金份额总数。</w:t>
      </w:r>
    </w:p>
    <w:p>
      <w:pPr>
        <w:pStyle w:val="81"/>
        <w:rPr>
          <w:color w:val="auto"/>
          <w:highlight w:val="none"/>
          <w:u w:val="none"/>
        </w:rPr>
      </w:pPr>
      <w:r>
        <w:rPr>
          <w:rFonts w:hint="eastAsia"/>
          <w:color w:val="auto"/>
          <w:szCs w:val="21"/>
          <w:highlight w:val="none"/>
          <w:u w:val="none"/>
        </w:rPr>
        <w:t>（3）如托管人以视频会议的方式召集份额持有人会议，可不聘请公证机关进行监督。</w:t>
      </w:r>
    </w:p>
    <w:p>
      <w:pPr>
        <w:pStyle w:val="81"/>
        <w:rPr>
          <w:color w:val="auto"/>
          <w:highlight w:val="none"/>
          <w:u w:val="none"/>
        </w:rPr>
      </w:pPr>
      <w:r>
        <w:rPr>
          <w:color w:val="auto"/>
          <w:szCs w:val="21"/>
          <w:highlight w:val="none"/>
          <w:u w:val="none"/>
        </w:rPr>
        <w:t>(八)表决</w:t>
      </w:r>
    </w:p>
    <w:p>
      <w:pPr>
        <w:pStyle w:val="81"/>
        <w:rPr>
          <w:color w:val="auto"/>
          <w:highlight w:val="none"/>
          <w:u w:val="none"/>
        </w:rPr>
      </w:pPr>
      <w:r>
        <w:rPr>
          <w:color w:val="auto"/>
          <w:szCs w:val="21"/>
          <w:highlight w:val="none"/>
          <w:u w:val="none"/>
        </w:rPr>
        <w:t>1.基金份额持有人大会不得对未在会议通知载明的事项进行表决。</w:t>
      </w:r>
    </w:p>
    <w:p>
      <w:pPr>
        <w:pStyle w:val="81"/>
        <w:rPr>
          <w:color w:val="auto"/>
          <w:highlight w:val="none"/>
          <w:u w:val="none"/>
        </w:rPr>
      </w:pPr>
      <w:r>
        <w:rPr>
          <w:color w:val="auto"/>
          <w:szCs w:val="21"/>
          <w:highlight w:val="none"/>
          <w:u w:val="none"/>
        </w:rPr>
        <w:t>2.基金份额持有人所持每份基金份额享有一票表决权。</w:t>
      </w:r>
    </w:p>
    <w:p>
      <w:pPr>
        <w:pStyle w:val="81"/>
        <w:rPr>
          <w:color w:val="auto"/>
          <w:highlight w:val="none"/>
          <w:u w:val="none"/>
        </w:rPr>
      </w:pPr>
      <w:r>
        <w:rPr>
          <w:color w:val="auto"/>
          <w:szCs w:val="21"/>
          <w:highlight w:val="none"/>
          <w:u w:val="none"/>
        </w:rPr>
        <w:t>3.</w:t>
      </w:r>
      <w:r>
        <w:rPr>
          <w:color w:val="auto"/>
          <w:highlight w:val="none"/>
          <w:u w:val="none"/>
        </w:rPr>
        <w:t>基金份额持有人大会决议须经出席会议的基金份额持有人所持表决权的</w:t>
      </w:r>
      <w:r>
        <w:rPr>
          <w:rFonts w:hint="eastAsia"/>
          <w:color w:val="auto"/>
          <w:highlight w:val="none"/>
          <w:u w:val="none"/>
        </w:rPr>
        <w:t>二</w:t>
      </w:r>
      <w:r>
        <w:rPr>
          <w:color w:val="auto"/>
          <w:highlight w:val="none"/>
          <w:u w:val="none"/>
        </w:rPr>
        <w:t>分之</w:t>
      </w:r>
      <w:r>
        <w:rPr>
          <w:rFonts w:hint="eastAsia"/>
          <w:color w:val="auto"/>
          <w:highlight w:val="none"/>
          <w:u w:val="none"/>
        </w:rPr>
        <w:t>一（</w:t>
      </w:r>
      <w:r>
        <w:rPr>
          <w:color w:val="auto"/>
          <w:highlight w:val="none"/>
          <w:u w:val="none"/>
        </w:rPr>
        <w:t>含</w:t>
      </w:r>
      <w:r>
        <w:rPr>
          <w:rFonts w:hint="eastAsia"/>
          <w:color w:val="auto"/>
          <w:highlight w:val="none"/>
          <w:u w:val="none"/>
        </w:rPr>
        <w:t>二</w:t>
      </w:r>
      <w:r>
        <w:rPr>
          <w:color w:val="auto"/>
          <w:highlight w:val="none"/>
          <w:u w:val="none"/>
        </w:rPr>
        <w:t>分之</w:t>
      </w:r>
      <w:r>
        <w:rPr>
          <w:rFonts w:hint="eastAsia"/>
          <w:color w:val="auto"/>
          <w:highlight w:val="none"/>
          <w:u w:val="none"/>
        </w:rPr>
        <w:t>一）</w:t>
      </w:r>
      <w:r>
        <w:rPr>
          <w:color w:val="auto"/>
          <w:highlight w:val="none"/>
          <w:u w:val="none"/>
        </w:rPr>
        <w:t>以上通过</w:t>
      </w:r>
      <w:r>
        <w:rPr>
          <w:rFonts w:hint="eastAsia"/>
          <w:color w:val="auto"/>
          <w:highlight w:val="none"/>
          <w:u w:val="none"/>
        </w:rPr>
        <w:t>；但是</w:t>
      </w:r>
      <w:r>
        <w:rPr>
          <w:color w:val="auto"/>
          <w:highlight w:val="none"/>
          <w:u w:val="none"/>
        </w:rPr>
        <w:t>转换基金的运作方式、更换基金管理人或托管人、提前终止基金合同、与其他基金合并，应当经出席会议的基金份额持有人所持表决权的三分之二</w:t>
      </w:r>
      <w:r>
        <w:rPr>
          <w:rFonts w:hint="eastAsia"/>
          <w:color w:val="auto"/>
          <w:szCs w:val="21"/>
          <w:highlight w:val="none"/>
          <w:u w:val="none"/>
        </w:rPr>
        <w:t>（</w:t>
      </w:r>
      <w:r>
        <w:rPr>
          <w:color w:val="auto"/>
          <w:szCs w:val="21"/>
          <w:highlight w:val="none"/>
          <w:u w:val="none"/>
        </w:rPr>
        <w:t>含三分之二</w:t>
      </w:r>
      <w:r>
        <w:rPr>
          <w:rFonts w:hint="eastAsia"/>
          <w:color w:val="auto"/>
          <w:szCs w:val="21"/>
          <w:highlight w:val="none"/>
          <w:u w:val="none"/>
        </w:rPr>
        <w:t>）</w:t>
      </w:r>
      <w:r>
        <w:rPr>
          <w:color w:val="auto"/>
          <w:szCs w:val="21"/>
          <w:highlight w:val="none"/>
          <w:u w:val="none"/>
        </w:rPr>
        <w:t>以上通过</w:t>
      </w:r>
      <w:r>
        <w:rPr>
          <w:rFonts w:hint="eastAsia"/>
          <w:color w:val="auto"/>
          <w:szCs w:val="21"/>
          <w:highlight w:val="none"/>
          <w:u w:val="none"/>
        </w:rPr>
        <w:t>，</w:t>
      </w:r>
      <w:r>
        <w:rPr>
          <w:color w:val="auto"/>
          <w:szCs w:val="21"/>
          <w:highlight w:val="none"/>
          <w:u w:val="none"/>
        </w:rPr>
        <w:t>本合同另有约定的除外。</w:t>
      </w:r>
    </w:p>
    <w:p>
      <w:pPr>
        <w:pStyle w:val="81"/>
        <w:rPr>
          <w:color w:val="auto"/>
          <w:highlight w:val="none"/>
          <w:u w:val="none"/>
        </w:rPr>
      </w:pPr>
      <w:r>
        <w:rPr>
          <w:color w:val="auto"/>
          <w:szCs w:val="21"/>
          <w:highlight w:val="none"/>
          <w:u w:val="none"/>
        </w:rPr>
        <w:t>4.基金份额持有人大会采取记名方式进行投票表决。</w:t>
      </w:r>
    </w:p>
    <w:p>
      <w:pPr>
        <w:pStyle w:val="81"/>
        <w:rPr>
          <w:color w:val="auto"/>
          <w:highlight w:val="none"/>
          <w:u w:val="none"/>
        </w:rPr>
      </w:pPr>
      <w:r>
        <w:rPr>
          <w:color w:val="auto"/>
          <w:szCs w:val="21"/>
          <w:highlight w:val="none"/>
          <w:u w:val="none"/>
        </w:rPr>
        <w:t>5.基金份额持有人大会的各项提案或同一项提案内并列的各项议题应当分开审议、逐项表决。</w:t>
      </w:r>
    </w:p>
    <w:p>
      <w:pPr>
        <w:pStyle w:val="81"/>
        <w:rPr>
          <w:color w:val="auto"/>
          <w:highlight w:val="none"/>
          <w:u w:val="none"/>
        </w:rPr>
      </w:pPr>
      <w:r>
        <w:rPr>
          <w:color w:val="auto"/>
          <w:szCs w:val="21"/>
          <w:highlight w:val="none"/>
          <w:u w:val="none"/>
        </w:rPr>
        <w:t>(九)基金份额持有人大会决议的效力</w:t>
      </w:r>
    </w:p>
    <w:p>
      <w:pPr>
        <w:pStyle w:val="81"/>
        <w:rPr>
          <w:color w:val="auto"/>
          <w:highlight w:val="none"/>
          <w:u w:val="none"/>
        </w:rPr>
      </w:pPr>
      <w:r>
        <w:rPr>
          <w:color w:val="auto"/>
          <w:szCs w:val="21"/>
          <w:highlight w:val="none"/>
          <w:u w:val="none"/>
        </w:rPr>
        <w:t>基金份额持有人大会决议自通过之日起生效，并自生效之日起对全体基金份额持有人、基金管理人</w:t>
      </w:r>
      <w:r>
        <w:rPr>
          <w:rFonts w:hint="eastAsia"/>
          <w:color w:val="auto"/>
          <w:szCs w:val="21"/>
          <w:highlight w:val="none"/>
          <w:u w:val="none"/>
        </w:rPr>
        <w:t>以及</w:t>
      </w:r>
      <w:r>
        <w:rPr>
          <w:color w:val="auto"/>
          <w:szCs w:val="21"/>
          <w:highlight w:val="none"/>
          <w:u w:val="none"/>
        </w:rPr>
        <w:t>基金托管人均有约束力。</w:t>
      </w:r>
      <w:r>
        <w:rPr>
          <w:rFonts w:hint="eastAsia"/>
          <w:color w:val="auto"/>
          <w:szCs w:val="21"/>
          <w:highlight w:val="none"/>
          <w:u w:val="none"/>
        </w:rPr>
        <w:t>特别地，如基金管理人</w:t>
      </w:r>
      <w:r>
        <w:rPr>
          <w:color w:val="auto"/>
          <w:szCs w:val="21"/>
          <w:highlight w:val="none"/>
          <w:u w:val="none"/>
        </w:rPr>
        <w:t>/基金托管人未列席基金份额持有人召集的基金份额持有人大会</w:t>
      </w:r>
      <w:r>
        <w:rPr>
          <w:rFonts w:hint="eastAsia"/>
          <w:color w:val="auto"/>
          <w:szCs w:val="21"/>
          <w:highlight w:val="none"/>
          <w:u w:val="none"/>
        </w:rPr>
        <w:t>，</w:t>
      </w:r>
      <w:r>
        <w:rPr>
          <w:color w:val="auto"/>
          <w:szCs w:val="21"/>
          <w:highlight w:val="none"/>
          <w:u w:val="none"/>
        </w:rPr>
        <w:t>则该等决议自书面通知至基金管理人/基金托管人之日起，对基金管理人/基金托管人有约束力。</w:t>
      </w:r>
    </w:p>
    <w:p>
      <w:pPr>
        <w:pStyle w:val="81"/>
        <w:rPr>
          <w:color w:val="auto"/>
          <w:szCs w:val="21"/>
          <w:highlight w:val="none"/>
          <w:u w:val="none"/>
        </w:rPr>
      </w:pPr>
      <w:r>
        <w:rPr>
          <w:rFonts w:hint="eastAsia"/>
          <w:color w:val="auto"/>
          <w:highlight w:val="none"/>
          <w:u w:val="none"/>
        </w:rPr>
        <w:t>尽管有上述约定，如基金份额持有人大会决议要求托管人履行的职责超出了法律法规、本基金合同约定的托管人职责范围，托管人有权拒绝执行。</w:t>
      </w:r>
    </w:p>
    <w:p>
      <w:pPr>
        <w:pStyle w:val="81"/>
        <w:rPr>
          <w:color w:val="auto"/>
          <w:highlight w:val="none"/>
          <w:u w:val="none"/>
        </w:rPr>
      </w:pPr>
      <w:r>
        <w:rPr>
          <w:color w:val="auto"/>
          <w:szCs w:val="21"/>
          <w:highlight w:val="none"/>
          <w:u w:val="none"/>
        </w:rPr>
        <w:t>(十)基金份额持有人大会决议的披露</w:t>
      </w:r>
    </w:p>
    <w:p>
      <w:pPr>
        <w:pStyle w:val="81"/>
        <w:rPr>
          <w:color w:val="auto"/>
          <w:highlight w:val="none"/>
          <w:u w:val="none"/>
        </w:rPr>
      </w:pPr>
      <w:r>
        <w:rPr>
          <w:color w:val="auto"/>
          <w:szCs w:val="21"/>
          <w:highlight w:val="none"/>
          <w:u w:val="none"/>
        </w:rPr>
        <w:t>基金份额持有人大会决定的事项，应通过在基金管理人网站公告或电子邮件、传真等形式通知全体基金份额持有人和其他相关当事人。</w:t>
      </w:r>
    </w:p>
    <w:p>
      <w:pPr>
        <w:pStyle w:val="81"/>
        <w:rPr>
          <w:rFonts w:ascii="楷体" w:hAnsi="楷体" w:eastAsia="楷体"/>
          <w:color w:val="auto"/>
          <w:szCs w:val="21"/>
          <w:highlight w:val="none"/>
          <w:u w:val="none"/>
        </w:rPr>
      </w:pPr>
    </w:p>
    <w:bookmarkEnd w:id="30"/>
    <w:p>
      <w:pPr>
        <w:pStyle w:val="4"/>
        <w:adjustRightInd w:val="0"/>
        <w:snapToGrid/>
        <w:spacing w:before="200" w:beforeLines="100" w:after="200" w:afterLines="50"/>
        <w:rPr>
          <w:rFonts w:ascii="楷体" w:hAnsi="楷体" w:eastAsia="楷体"/>
          <w:color w:val="auto"/>
          <w:sz w:val="24"/>
          <w:highlight w:val="none"/>
          <w:u w:val="none"/>
        </w:rPr>
      </w:pPr>
      <w:bookmarkStart w:id="32" w:name="_Toc462410813"/>
      <w:bookmarkStart w:id="33" w:name="_Toc482974536"/>
      <w:r>
        <w:rPr>
          <w:rFonts w:ascii="楷体" w:hAnsi="楷体" w:eastAsia="楷体"/>
          <w:color w:val="auto"/>
          <w:sz w:val="24"/>
          <w:highlight w:val="none"/>
          <w:u w:val="none"/>
        </w:rPr>
        <w:t>第十</w:t>
      </w:r>
      <w:r>
        <w:rPr>
          <w:rFonts w:hint="eastAsia" w:ascii="楷体" w:hAnsi="楷体" w:eastAsia="楷体"/>
          <w:color w:val="auto"/>
          <w:sz w:val="24"/>
          <w:highlight w:val="none"/>
          <w:u w:val="none"/>
        </w:rPr>
        <w:t>二</w:t>
      </w:r>
      <w:r>
        <w:rPr>
          <w:rFonts w:ascii="楷体" w:hAnsi="楷体" w:eastAsia="楷体"/>
          <w:color w:val="auto"/>
          <w:sz w:val="24"/>
          <w:highlight w:val="none"/>
          <w:u w:val="none"/>
        </w:rPr>
        <w:t>节基金份额的登记</w:t>
      </w:r>
      <w:r>
        <w:rPr>
          <w:rFonts w:hint="eastAsia" w:ascii="楷体" w:hAnsi="楷体" w:eastAsia="楷体"/>
          <w:color w:val="auto"/>
          <w:sz w:val="24"/>
          <w:highlight w:val="none"/>
          <w:u w:val="none"/>
        </w:rPr>
        <w:t>、转让和非交易过户</w:t>
      </w:r>
      <w:bookmarkEnd w:id="32"/>
      <w:bookmarkEnd w:id="33"/>
    </w:p>
    <w:p>
      <w:pPr>
        <w:pStyle w:val="81"/>
        <w:rPr>
          <w:color w:val="auto"/>
          <w:highlight w:val="none"/>
          <w:u w:val="none"/>
        </w:rPr>
      </w:pPr>
      <w:r>
        <w:rPr>
          <w:color w:val="auto"/>
          <w:highlight w:val="none"/>
          <w:u w:val="none"/>
        </w:rPr>
        <w:t>(</w:t>
      </w:r>
      <w:r>
        <w:rPr>
          <w:rFonts w:hint="eastAsia"/>
          <w:color w:val="auto"/>
          <w:highlight w:val="none"/>
          <w:u w:val="none"/>
        </w:rPr>
        <w:t>一</w:t>
      </w:r>
      <w:r>
        <w:rPr>
          <w:color w:val="auto"/>
          <w:highlight w:val="none"/>
          <w:u w:val="none"/>
        </w:rPr>
        <w:t>)</w:t>
      </w:r>
      <w:r>
        <w:rPr>
          <w:rFonts w:hint="eastAsia"/>
          <w:color w:val="auto"/>
          <w:highlight w:val="none"/>
          <w:u w:val="none"/>
        </w:rPr>
        <w:t>基金份额的登记</w:t>
      </w:r>
    </w:p>
    <w:p>
      <w:pPr>
        <w:pStyle w:val="81"/>
        <w:rPr>
          <w:b/>
          <w:color w:val="auto"/>
          <w:highlight w:val="none"/>
          <w:u w:val="none"/>
        </w:rPr>
      </w:pPr>
      <w:r>
        <w:rPr>
          <w:color w:val="auto"/>
          <w:highlight w:val="none"/>
          <w:u w:val="none"/>
        </w:rPr>
        <w:t>管理人委托</w:t>
      </w:r>
      <w:r>
        <w:rPr>
          <w:rFonts w:hint="eastAsia"/>
          <w:color w:val="auto"/>
          <w:highlight w:val="none"/>
          <w:u w:val="none"/>
        </w:rPr>
        <w:t>国信</w:t>
      </w:r>
      <w:r>
        <w:rPr>
          <w:color w:val="auto"/>
          <w:highlight w:val="none"/>
          <w:u w:val="none"/>
        </w:rPr>
        <w:t>证券股份有限公司代为办理本基金的注册登记业务，并与该公司签订了服务协议</w:t>
      </w:r>
      <w:r>
        <w:rPr>
          <w:rFonts w:hint="eastAsia"/>
          <w:color w:val="auto"/>
          <w:highlight w:val="none"/>
          <w:u w:val="none"/>
        </w:rPr>
        <w:t>，但基金管理人依法应承担的注册登记职责不因委托而免除</w:t>
      </w:r>
      <w:r>
        <w:rPr>
          <w:color w:val="auto"/>
          <w:highlight w:val="none"/>
          <w:u w:val="none"/>
        </w:rPr>
        <w:t>。</w:t>
      </w:r>
      <w:r>
        <w:rPr>
          <w:b/>
          <w:color w:val="auto"/>
          <w:highlight w:val="none"/>
          <w:u w:val="none"/>
        </w:rPr>
        <w:t>注册登记机构对本基金的投资运作不承担任何责任，不保证基金一定盈利，也不保证最低收益。</w:t>
      </w:r>
    </w:p>
    <w:p>
      <w:pPr>
        <w:pStyle w:val="81"/>
        <w:rPr>
          <w:color w:val="auto"/>
          <w:highlight w:val="none"/>
          <w:u w:val="none"/>
        </w:rPr>
      </w:pPr>
      <w:r>
        <w:rPr>
          <w:rFonts w:hint="eastAsia"/>
          <w:color w:val="auto"/>
          <w:highlight w:val="none"/>
          <w:u w:val="none"/>
        </w:rPr>
        <w:t>基金份额登记机构应履行如下注册登记职责：</w:t>
      </w:r>
    </w:p>
    <w:p>
      <w:pPr>
        <w:pStyle w:val="81"/>
        <w:rPr>
          <w:color w:val="auto"/>
          <w:highlight w:val="none"/>
          <w:u w:val="none"/>
        </w:rPr>
      </w:pPr>
      <w:r>
        <w:rPr>
          <w:color w:val="auto"/>
          <w:highlight w:val="none"/>
          <w:u w:val="none"/>
        </w:rPr>
        <w:t>1.</w:t>
      </w:r>
      <w:r>
        <w:rPr>
          <w:rFonts w:hint="eastAsia"/>
          <w:color w:val="auto"/>
          <w:highlight w:val="none"/>
          <w:u w:val="none"/>
        </w:rPr>
        <w:t>配备足够的专业人员办理本基金份额的登记业务；</w:t>
      </w:r>
    </w:p>
    <w:p>
      <w:pPr>
        <w:pStyle w:val="81"/>
        <w:rPr>
          <w:color w:val="auto"/>
          <w:highlight w:val="none"/>
          <w:u w:val="none"/>
        </w:rPr>
      </w:pPr>
      <w:r>
        <w:rPr>
          <w:color w:val="auto"/>
          <w:highlight w:val="none"/>
          <w:u w:val="none"/>
        </w:rPr>
        <w:t>2.</w:t>
      </w:r>
      <w:r>
        <w:rPr>
          <w:rFonts w:hint="eastAsia"/>
          <w:color w:val="auto"/>
          <w:highlight w:val="none"/>
          <w:u w:val="none"/>
        </w:rPr>
        <w:t>严格按照法律法规和本合同规定的条件办理本基金份额的登记业务；</w:t>
      </w:r>
    </w:p>
    <w:p>
      <w:pPr>
        <w:pStyle w:val="81"/>
        <w:rPr>
          <w:color w:val="auto"/>
          <w:highlight w:val="none"/>
          <w:u w:val="none"/>
        </w:rPr>
      </w:pPr>
      <w:r>
        <w:rPr>
          <w:color w:val="auto"/>
          <w:highlight w:val="none"/>
          <w:u w:val="none"/>
        </w:rPr>
        <w:t>3.</w:t>
      </w:r>
      <w:r>
        <w:rPr>
          <w:rFonts w:hint="eastAsia"/>
          <w:color w:val="auto"/>
          <w:highlight w:val="none"/>
          <w:u w:val="none"/>
        </w:rPr>
        <w:t>根据法律法规、监管规则的要求保存基金份额持有人名册及相关的认购、申购与赎回等业务记录；</w:t>
      </w:r>
    </w:p>
    <w:p>
      <w:pPr>
        <w:pStyle w:val="81"/>
        <w:rPr>
          <w:color w:val="auto"/>
          <w:highlight w:val="none"/>
          <w:u w:val="none"/>
        </w:rPr>
      </w:pPr>
      <w:r>
        <w:rPr>
          <w:color w:val="auto"/>
          <w:highlight w:val="none"/>
          <w:u w:val="none"/>
        </w:rPr>
        <w:t>4.</w:t>
      </w:r>
      <w:r>
        <w:rPr>
          <w:rFonts w:hint="eastAsia"/>
          <w:color w:val="auto"/>
          <w:highlight w:val="none"/>
          <w:u w:val="none"/>
        </w:rPr>
        <w:t>对基金份额持有人的基金账户信息负有保密义务，因违反该保密义务对投资者或基金带来的损失，须承担相应的赔偿责任，但司法强制检查情形、</w:t>
      </w:r>
      <w:r>
        <w:rPr>
          <w:color w:val="auto"/>
          <w:highlight w:val="none"/>
          <w:u w:val="none"/>
        </w:rPr>
        <w:t>法</w:t>
      </w:r>
      <w:r>
        <w:rPr>
          <w:rFonts w:hint="eastAsia"/>
          <w:color w:val="auto"/>
          <w:highlight w:val="none"/>
          <w:u w:val="none"/>
        </w:rPr>
        <w:t>律</w:t>
      </w:r>
      <w:r>
        <w:rPr>
          <w:color w:val="auto"/>
          <w:highlight w:val="none"/>
          <w:u w:val="none"/>
        </w:rPr>
        <w:t>法规、监管规则</w:t>
      </w:r>
      <w:r>
        <w:rPr>
          <w:rFonts w:hint="eastAsia"/>
          <w:color w:val="auto"/>
          <w:highlight w:val="none"/>
          <w:u w:val="none"/>
        </w:rPr>
        <w:t>和本合同另有约定的其他情形除外；</w:t>
      </w:r>
    </w:p>
    <w:p>
      <w:pPr>
        <w:pStyle w:val="81"/>
        <w:rPr>
          <w:color w:val="auto"/>
          <w:highlight w:val="none"/>
          <w:u w:val="none"/>
        </w:rPr>
      </w:pPr>
      <w:r>
        <w:rPr>
          <w:color w:val="auto"/>
          <w:highlight w:val="none"/>
          <w:u w:val="none"/>
        </w:rPr>
        <w:t>5.</w:t>
      </w:r>
      <w:r>
        <w:rPr>
          <w:rFonts w:hint="eastAsia"/>
          <w:color w:val="auto"/>
          <w:highlight w:val="none"/>
          <w:u w:val="none"/>
        </w:rPr>
        <w:t>接受管理人的监督；</w:t>
      </w:r>
    </w:p>
    <w:p>
      <w:pPr>
        <w:pStyle w:val="81"/>
        <w:rPr>
          <w:color w:val="auto"/>
          <w:highlight w:val="none"/>
          <w:u w:val="none"/>
        </w:rPr>
      </w:pPr>
      <w:r>
        <w:rPr>
          <w:color w:val="auto"/>
          <w:highlight w:val="none"/>
          <w:u w:val="none"/>
        </w:rPr>
        <w:t>6.</w:t>
      </w:r>
      <w:r>
        <w:rPr>
          <w:rFonts w:hint="eastAsia"/>
          <w:color w:val="auto"/>
          <w:highlight w:val="none"/>
          <w:u w:val="none"/>
        </w:rPr>
        <w:t>法律法规及中国证监会规定的和本合同约定的其他义务。</w:t>
      </w:r>
    </w:p>
    <w:p>
      <w:pPr>
        <w:pStyle w:val="81"/>
        <w:rPr>
          <w:color w:val="auto"/>
          <w:highlight w:val="none"/>
          <w:u w:val="none"/>
        </w:rPr>
      </w:pPr>
      <w:r>
        <w:rPr>
          <w:rFonts w:hint="eastAsia"/>
          <w:color w:val="auto"/>
          <w:highlight w:val="none"/>
          <w:u w:val="none"/>
        </w:rPr>
        <w:t>全体基金份额持有人同意管理人、注册登记机构应当按照中国基金业协会的规定办理基金份额登记数据的备份。</w:t>
      </w:r>
    </w:p>
    <w:p>
      <w:pPr>
        <w:pStyle w:val="81"/>
        <w:rPr>
          <w:color w:val="auto"/>
          <w:highlight w:val="none"/>
          <w:u w:val="none"/>
        </w:rPr>
      </w:pPr>
      <w:r>
        <w:rPr>
          <w:color w:val="auto"/>
          <w:highlight w:val="none"/>
          <w:u w:val="none"/>
        </w:rPr>
        <w:t>(二)基金份额的转让</w:t>
      </w:r>
    </w:p>
    <w:p>
      <w:pPr>
        <w:pStyle w:val="81"/>
        <w:rPr>
          <w:color w:val="auto"/>
          <w:highlight w:val="none"/>
          <w:u w:val="none"/>
        </w:rPr>
      </w:pPr>
      <w:r>
        <w:rPr>
          <w:color w:val="auto"/>
          <w:highlight w:val="none"/>
          <w:u w:val="none"/>
        </w:rPr>
        <w:t>1.在本基金存续期间，经基金管理人书面同意，份额持有人可以依法向合格投资者转让其持有的全部或部分基金份额，但转让完成后份额持有人持有的基金</w:t>
      </w:r>
      <w:r>
        <w:rPr>
          <w:rFonts w:hint="eastAsia"/>
          <w:color w:val="auto"/>
          <w:highlight w:val="none"/>
          <w:u w:val="none"/>
        </w:rPr>
        <w:t>资产净值</w:t>
      </w:r>
      <w:r>
        <w:rPr>
          <w:color w:val="auto"/>
          <w:highlight w:val="none"/>
          <w:u w:val="none"/>
        </w:rPr>
        <w:t>不得</w:t>
      </w:r>
      <w:r>
        <w:rPr>
          <w:rFonts w:hint="eastAsia"/>
          <w:color w:val="auto"/>
          <w:highlight w:val="none"/>
          <w:u w:val="none"/>
        </w:rPr>
        <w:t>低</w:t>
      </w:r>
      <w:r>
        <w:rPr>
          <w:color w:val="auto"/>
          <w:highlight w:val="none"/>
          <w:u w:val="none"/>
        </w:rPr>
        <w:t>于100万</w:t>
      </w:r>
      <w:r>
        <w:rPr>
          <w:rFonts w:hint="eastAsia"/>
          <w:color w:val="auto"/>
          <w:highlight w:val="none"/>
          <w:u w:val="none"/>
        </w:rPr>
        <w:t>元，法律法规另有规定的除外</w:t>
      </w:r>
      <w:r>
        <w:rPr>
          <w:color w:val="auto"/>
          <w:highlight w:val="none"/>
          <w:u w:val="none"/>
        </w:rPr>
        <w:t>。</w:t>
      </w:r>
    </w:p>
    <w:p>
      <w:pPr>
        <w:pStyle w:val="81"/>
        <w:rPr>
          <w:color w:val="auto"/>
          <w:highlight w:val="none"/>
          <w:u w:val="none"/>
        </w:rPr>
      </w:pPr>
      <w:r>
        <w:rPr>
          <w:color w:val="auto"/>
          <w:highlight w:val="none"/>
          <w:u w:val="none"/>
        </w:rPr>
        <w:t>2.基金份额的转让应符合国家有关法律法规</w:t>
      </w:r>
      <w:r>
        <w:rPr>
          <w:rFonts w:hint="eastAsia"/>
          <w:color w:val="auto"/>
          <w:highlight w:val="none"/>
          <w:u w:val="none"/>
        </w:rPr>
        <w:t>、监管规则</w:t>
      </w:r>
      <w:r>
        <w:rPr>
          <w:color w:val="auto"/>
          <w:highlight w:val="none"/>
          <w:u w:val="none"/>
        </w:rPr>
        <w:t>的要求，并按照管理人的要求提供相关资料并履行必要的手续。</w:t>
      </w:r>
    </w:p>
    <w:p>
      <w:pPr>
        <w:pStyle w:val="81"/>
        <w:rPr>
          <w:color w:val="auto"/>
          <w:highlight w:val="none"/>
          <w:u w:val="none"/>
        </w:rPr>
      </w:pPr>
      <w:r>
        <w:rPr>
          <w:color w:val="auto"/>
          <w:highlight w:val="none"/>
          <w:u w:val="none"/>
        </w:rPr>
        <w:t>3.基金份额转让期间及转让完成后，持有本基金份额的份额持有人数量合计不得超过200人。</w:t>
      </w:r>
    </w:p>
    <w:p>
      <w:pPr>
        <w:pStyle w:val="81"/>
        <w:rPr>
          <w:color w:val="auto"/>
          <w:highlight w:val="none"/>
          <w:u w:val="none"/>
        </w:rPr>
      </w:pPr>
      <w:r>
        <w:rPr>
          <w:color w:val="auto"/>
          <w:highlight w:val="none"/>
          <w:u w:val="none"/>
        </w:rPr>
        <w:t>4.</w:t>
      </w:r>
      <w:r>
        <w:rPr>
          <w:rFonts w:hint="eastAsia"/>
          <w:color w:val="auto"/>
          <w:highlight w:val="none"/>
          <w:u w:val="none"/>
        </w:rPr>
        <w:t>办理份额转让的变更登记，管理人应向注册登记机构发送书面的基金份额转让指令及转让方与受让方已签署并由管理人确认的基金份额转让协议，管理人应确保其书面指令符合相关法律法规、监管规则以及本合同约定。注册登记机构仅对于材料完备性进行形式审核，不承担审核份额转让是否符合本第（二）条规定的义务。</w:t>
      </w:r>
    </w:p>
    <w:p>
      <w:pPr>
        <w:pStyle w:val="81"/>
        <w:rPr>
          <w:color w:val="auto"/>
          <w:highlight w:val="none"/>
          <w:u w:val="none"/>
        </w:rPr>
      </w:pPr>
      <w:r>
        <w:rPr>
          <w:color w:val="auto"/>
          <w:highlight w:val="none"/>
          <w:u w:val="none"/>
        </w:rPr>
        <w:t>5.</w:t>
      </w:r>
      <w:r>
        <w:rPr>
          <w:rFonts w:hint="eastAsia"/>
          <w:color w:val="auto"/>
          <w:highlight w:val="none"/>
          <w:u w:val="none"/>
        </w:rPr>
        <w:t>基金份额的转让行为不影响收益计算的连续性。注册登记机构有权向份额受让方按每笔转让的基金份额发行面值的</w:t>
      </w:r>
      <w:r>
        <w:rPr>
          <w:color w:val="auto"/>
          <w:highlight w:val="none"/>
          <w:u w:val="none"/>
        </w:rPr>
        <w:t>0.05%</w:t>
      </w:r>
      <w:r>
        <w:rPr>
          <w:rFonts w:hint="eastAsia"/>
          <w:color w:val="auto"/>
          <w:highlight w:val="none"/>
          <w:u w:val="none"/>
        </w:rPr>
        <w:t>收取过户费，但单次转让交易需缴纳的转让费金额不高于人民币</w:t>
      </w:r>
      <w:r>
        <w:rPr>
          <w:color w:val="auto"/>
          <w:highlight w:val="none"/>
          <w:u w:val="none"/>
        </w:rPr>
        <w:t>1000元。</w:t>
      </w:r>
    </w:p>
    <w:p>
      <w:pPr>
        <w:pStyle w:val="81"/>
        <w:rPr>
          <w:color w:val="auto"/>
          <w:highlight w:val="none"/>
          <w:u w:val="none"/>
        </w:rPr>
      </w:pPr>
      <w:r>
        <w:rPr>
          <w:color w:val="auto"/>
          <w:highlight w:val="none"/>
          <w:u w:val="none"/>
        </w:rPr>
        <w:t>(三)非交易过户</w:t>
      </w:r>
    </w:p>
    <w:p>
      <w:pPr>
        <w:pStyle w:val="81"/>
        <w:rPr>
          <w:color w:val="auto"/>
          <w:highlight w:val="none"/>
          <w:u w:val="none"/>
        </w:rPr>
      </w:pPr>
      <w:r>
        <w:rPr>
          <w:color w:val="auto"/>
          <w:highlight w:val="none"/>
          <w:u w:val="none"/>
        </w:rPr>
        <w:t>1.管理人及注册登记机构只受理继承、司法强制执行和经注册登记机构认可的其他情况下的非交易过户。其中：</w:t>
      </w:r>
    </w:p>
    <w:p>
      <w:pPr>
        <w:pStyle w:val="81"/>
        <w:rPr>
          <w:color w:val="auto"/>
          <w:highlight w:val="none"/>
          <w:u w:val="none"/>
        </w:rPr>
      </w:pPr>
      <w:r>
        <w:rPr>
          <w:rFonts w:hint="eastAsia"/>
          <w:color w:val="auto"/>
          <w:highlight w:val="none"/>
          <w:u w:val="none"/>
        </w:rPr>
        <w:t>“继承”</w:t>
      </w:r>
      <w:r>
        <w:rPr>
          <w:color w:val="auto"/>
          <w:highlight w:val="none"/>
          <w:u w:val="none"/>
        </w:rPr>
        <w:t>是指投资者死亡，其持有的基金份额由其合法的继承人继承；</w:t>
      </w:r>
    </w:p>
    <w:p>
      <w:pPr>
        <w:pStyle w:val="81"/>
        <w:rPr>
          <w:color w:val="auto"/>
          <w:highlight w:val="none"/>
          <w:u w:val="none"/>
        </w:rPr>
      </w:pPr>
      <w:r>
        <w:rPr>
          <w:rFonts w:hint="eastAsia"/>
          <w:color w:val="auto"/>
          <w:highlight w:val="none"/>
          <w:u w:val="none"/>
        </w:rPr>
        <w:t>“司法强制执行”</w:t>
      </w:r>
      <w:r>
        <w:rPr>
          <w:color w:val="auto"/>
          <w:highlight w:val="none"/>
          <w:u w:val="none"/>
        </w:rPr>
        <w:t>是指司法机关依据生效司法文书将投资者持有的基金份额强制划转给其他自然人、法人、社会团体或其他组织的情形。</w:t>
      </w:r>
    </w:p>
    <w:p>
      <w:pPr>
        <w:pStyle w:val="81"/>
        <w:rPr>
          <w:color w:val="auto"/>
          <w:highlight w:val="none"/>
          <w:u w:val="none"/>
        </w:rPr>
      </w:pPr>
      <w:r>
        <w:rPr>
          <w:color w:val="auto"/>
          <w:highlight w:val="none"/>
          <w:u w:val="none"/>
        </w:rPr>
        <w:t>2.投资者办理非交易过户业务时，必须提供注册登记机构规定的相关资料。符合条件的非交易过户申请自申请受理日起2个月内办理。注册登记机构</w:t>
      </w:r>
      <w:r>
        <w:rPr>
          <w:rFonts w:hint="eastAsia"/>
          <w:color w:val="auto"/>
          <w:highlight w:val="none"/>
          <w:u w:val="none"/>
        </w:rPr>
        <w:t>有权向申请人按</w:t>
      </w:r>
      <w:r>
        <w:rPr>
          <w:color w:val="auto"/>
          <w:highlight w:val="none"/>
          <w:u w:val="none"/>
        </w:rPr>
        <w:t>规定的标准</w:t>
      </w:r>
      <w:r>
        <w:rPr>
          <w:rFonts w:hint="eastAsia"/>
          <w:color w:val="auto"/>
          <w:highlight w:val="none"/>
          <w:u w:val="none"/>
        </w:rPr>
        <w:t>收取</w:t>
      </w:r>
      <w:r>
        <w:rPr>
          <w:color w:val="auto"/>
          <w:highlight w:val="none"/>
          <w:u w:val="none"/>
        </w:rPr>
        <w:t>过户费用。</w:t>
      </w:r>
    </w:p>
    <w:p>
      <w:pPr>
        <w:pStyle w:val="81"/>
        <w:rPr>
          <w:color w:val="auto"/>
          <w:highlight w:val="none"/>
          <w:u w:val="none"/>
        </w:rPr>
      </w:pPr>
      <w:r>
        <w:rPr>
          <w:color w:val="auto"/>
          <w:highlight w:val="none"/>
          <w:u w:val="none"/>
        </w:rPr>
        <w:t>(四)基金份额转让或非交易过户的后果</w:t>
      </w:r>
    </w:p>
    <w:p>
      <w:pPr>
        <w:pStyle w:val="81"/>
        <w:rPr>
          <w:color w:val="auto"/>
          <w:highlight w:val="none"/>
          <w:u w:val="none"/>
        </w:rPr>
      </w:pPr>
      <w:r>
        <w:rPr>
          <w:color w:val="auto"/>
          <w:highlight w:val="none"/>
          <w:u w:val="none"/>
        </w:rPr>
        <w:t>投资者所持基金份额进行转让或非交易过户的，自转让完成之日起，该投资者不再是基金合同的当事人，受让人自转让完成之日起持有所受让的基金份额，并根据基金合同规定享有相应的份额利益，受让人应遵守基金合同规定，按照基金合同行使相应权利、履行相关义务、承担投资风险。</w:t>
      </w:r>
    </w:p>
    <w:p>
      <w:pPr>
        <w:pStyle w:val="4"/>
        <w:snapToGrid/>
        <w:spacing w:beforeLines="100" w:afterLines="50"/>
        <w:rPr>
          <w:rFonts w:ascii="楷体" w:hAnsi="楷体" w:eastAsia="楷体"/>
          <w:color w:val="auto"/>
          <w:sz w:val="24"/>
          <w:highlight w:val="none"/>
          <w:u w:val="none"/>
        </w:rPr>
      </w:pPr>
      <w:bookmarkStart w:id="34" w:name="_Toc482974537"/>
      <w:bookmarkStart w:id="35" w:name="_Toc260056786"/>
      <w:r>
        <w:rPr>
          <w:rFonts w:ascii="楷体" w:hAnsi="楷体" w:eastAsia="楷体"/>
          <w:color w:val="auto"/>
          <w:sz w:val="24"/>
          <w:highlight w:val="none"/>
          <w:u w:val="none"/>
        </w:rPr>
        <w:t>第十</w:t>
      </w:r>
      <w:r>
        <w:rPr>
          <w:rFonts w:hint="eastAsia" w:ascii="楷体" w:hAnsi="楷体" w:eastAsia="楷体"/>
          <w:color w:val="auto"/>
          <w:sz w:val="24"/>
          <w:highlight w:val="none"/>
          <w:u w:val="none"/>
        </w:rPr>
        <w:t>三</w:t>
      </w:r>
      <w:r>
        <w:rPr>
          <w:rFonts w:ascii="楷体" w:hAnsi="楷体" w:eastAsia="楷体"/>
          <w:color w:val="auto"/>
          <w:sz w:val="24"/>
          <w:highlight w:val="none"/>
          <w:u w:val="none"/>
        </w:rPr>
        <w:t>节基金的财产</w:t>
      </w:r>
      <w:bookmarkEnd w:id="31"/>
      <w:bookmarkEnd w:id="34"/>
      <w:bookmarkEnd w:id="35"/>
    </w:p>
    <w:p>
      <w:pPr>
        <w:pStyle w:val="81"/>
        <w:rPr>
          <w:color w:val="auto"/>
          <w:highlight w:val="none"/>
          <w:u w:val="none"/>
        </w:rPr>
      </w:pPr>
      <w:r>
        <w:rPr>
          <w:color w:val="auto"/>
          <w:highlight w:val="none"/>
          <w:u w:val="none"/>
        </w:rPr>
        <w:t>(</w:t>
      </w:r>
      <w:r>
        <w:rPr>
          <w:rFonts w:hint="eastAsia"/>
          <w:color w:val="auto"/>
          <w:highlight w:val="none"/>
          <w:u w:val="none"/>
        </w:rPr>
        <w:t>一</w:t>
      </w:r>
      <w:r>
        <w:rPr>
          <w:color w:val="auto"/>
          <w:highlight w:val="none"/>
          <w:u w:val="none"/>
        </w:rPr>
        <w:t>)基金财产的保管与处分</w:t>
      </w:r>
    </w:p>
    <w:p>
      <w:pPr>
        <w:pStyle w:val="81"/>
        <w:rPr>
          <w:color w:val="auto"/>
          <w:highlight w:val="none"/>
          <w:u w:val="none"/>
        </w:rPr>
      </w:pPr>
      <w:r>
        <w:rPr>
          <w:color w:val="auto"/>
          <w:highlight w:val="none"/>
          <w:u w:val="none"/>
        </w:rPr>
        <w:t>1.基金财产独立于管理人、托管人的固有财产，并由托管人保管，管理人、托管人不得将基金财产归入其固有财产。</w:t>
      </w:r>
    </w:p>
    <w:p>
      <w:pPr>
        <w:pStyle w:val="81"/>
        <w:rPr>
          <w:color w:val="auto"/>
          <w:highlight w:val="none"/>
          <w:u w:val="none"/>
        </w:rPr>
      </w:pPr>
      <w:r>
        <w:rPr>
          <w:color w:val="auto"/>
          <w:highlight w:val="none"/>
          <w:u w:val="none"/>
        </w:rPr>
        <w:t>2.除本款第3项约定的情形外，管理人、托管人因基金财产的管理、运用或者其他情形而取得的财产和收益归入基金财产。</w:t>
      </w:r>
    </w:p>
    <w:p>
      <w:pPr>
        <w:pStyle w:val="81"/>
        <w:rPr>
          <w:color w:val="auto"/>
          <w:highlight w:val="none"/>
          <w:u w:val="none"/>
        </w:rPr>
      </w:pPr>
      <w:r>
        <w:rPr>
          <w:color w:val="auto"/>
          <w:highlight w:val="none"/>
          <w:u w:val="none"/>
        </w:rPr>
        <w:t>3.管理人、托管人可以按本合同的约定收取管理费、托管费以及本合同约定的其他费用。管理人、托管人以其固有财产承担法律责任，其债权人不得对基金财产行使请求冻结、扣押和其他权利。管理人、托管人因依法解散、被依法撤销或者被依法宣告破产等原因进行清算的，基金财产不属于其清算财产。</w:t>
      </w:r>
    </w:p>
    <w:p>
      <w:pPr>
        <w:pStyle w:val="81"/>
        <w:rPr>
          <w:color w:val="auto"/>
          <w:highlight w:val="none"/>
          <w:u w:val="none"/>
        </w:rPr>
      </w:pPr>
      <w:r>
        <w:rPr>
          <w:color w:val="auto"/>
          <w:highlight w:val="none"/>
          <w:u w:val="none"/>
        </w:rPr>
        <w:t>4.基金财产产生的债权不得与不属于基金财产本身的债务相互抵销。非因基金财产本身承担的债务，管理人、托管人不得主张其债权人对基金财产强制执行。上述债权人对基金财产主张权利时，管理人、托管人应明确告知基金财产的独立性。</w:t>
      </w:r>
    </w:p>
    <w:p>
      <w:pPr>
        <w:pStyle w:val="81"/>
        <w:rPr>
          <w:color w:val="auto"/>
          <w:highlight w:val="none"/>
          <w:u w:val="none"/>
        </w:rPr>
      </w:pPr>
      <w:r>
        <w:rPr>
          <w:color w:val="auto"/>
          <w:highlight w:val="none"/>
          <w:u w:val="none"/>
        </w:rPr>
        <w:t>5.</w:t>
      </w:r>
      <w:r>
        <w:rPr>
          <w:rFonts w:hint="eastAsia"/>
          <w:color w:val="auto"/>
          <w:highlight w:val="none"/>
          <w:u w:val="none"/>
        </w:rPr>
        <w:t>管理人、托管人不得违反法律法规的规定和基金合同约定擅自将基金资产用于抵押、质押、担保或设定任何形式的优先权或其他第三方权利。</w:t>
      </w:r>
    </w:p>
    <w:p>
      <w:pPr>
        <w:pStyle w:val="81"/>
        <w:ind w:firstLine="422"/>
        <w:rPr>
          <w:b/>
          <w:color w:val="auto"/>
          <w:highlight w:val="none"/>
          <w:u w:val="none"/>
        </w:rPr>
      </w:pPr>
      <w:r>
        <w:rPr>
          <w:b/>
          <w:color w:val="auto"/>
          <w:highlight w:val="none"/>
          <w:u w:val="none"/>
        </w:rPr>
        <w:t>6.托管人仅负责保管本基金项下托管账户内的现金资产。对于本基金项下未由其保管且未受其实际控制的其他资产（包括现金类资产与非现金类资产），托管人不承担保管职责，且对其安全性和完整性不承担任何责任。管理人负责保管本基金对外投资过程中形成的股权、债权、收益权等非现金资产及相关权利凭证，并应及时将相关权利凭证的复印件加盖公章后交付托管人。管理人应对本基金项下非现金资产及其权利凭证的安全和完整负责。除基金合同另有约定外，管理人不得在该等非现金资产或其权利凭证之上设置抵押、质押或其他权利负担。</w:t>
      </w:r>
    </w:p>
    <w:p>
      <w:pPr>
        <w:pStyle w:val="81"/>
        <w:ind w:firstLine="422"/>
        <w:rPr>
          <w:b/>
          <w:color w:val="auto"/>
          <w:highlight w:val="none"/>
          <w:u w:val="none"/>
        </w:rPr>
      </w:pPr>
      <w:r>
        <w:rPr>
          <w:b/>
          <w:color w:val="auto"/>
          <w:highlight w:val="none"/>
          <w:u w:val="none"/>
        </w:rPr>
        <w:t>7.本基金项下，管理人代表本基金与交易对手签订投资协议、开立相关账户及办理相关登记手续，并按照投资协议的约定行使相关权利和履行相关义务。托管人对于基金对外投资而产生的风险不承担任何责任。管理人未按投资协议约定行使相关权利、履行相关义务或处分基金财产不当而使基金财产遭受损失的，托管人亦不承担任何责任。</w:t>
      </w:r>
    </w:p>
    <w:p>
      <w:pPr>
        <w:pStyle w:val="81"/>
        <w:rPr>
          <w:color w:val="auto"/>
          <w:highlight w:val="none"/>
          <w:u w:val="none"/>
        </w:rPr>
      </w:pPr>
      <w:r>
        <w:rPr>
          <w:color w:val="auto"/>
          <w:highlight w:val="none"/>
          <w:u w:val="none"/>
        </w:rPr>
        <w:t>(二)基金财产相关账户的开立和管理</w:t>
      </w:r>
    </w:p>
    <w:p>
      <w:pPr>
        <w:pStyle w:val="81"/>
        <w:rPr>
          <w:color w:val="auto"/>
          <w:szCs w:val="21"/>
          <w:highlight w:val="none"/>
          <w:u w:val="none"/>
        </w:rPr>
      </w:pPr>
      <w:r>
        <w:rPr>
          <w:color w:val="auto"/>
          <w:szCs w:val="21"/>
          <w:highlight w:val="none"/>
          <w:u w:val="none"/>
        </w:rPr>
        <w:t>1.托管账户的开设和管理</w:t>
      </w:r>
    </w:p>
    <w:p>
      <w:pPr>
        <w:pStyle w:val="81"/>
        <w:rPr>
          <w:color w:val="auto"/>
          <w:highlight w:val="none"/>
          <w:u w:val="none"/>
        </w:rPr>
      </w:pPr>
      <w:r>
        <w:rPr>
          <w:rFonts w:hint="eastAsia"/>
          <w:color w:val="auto"/>
          <w:highlight w:val="none"/>
          <w:u w:val="none"/>
        </w:rPr>
        <w:t>（1）</w:t>
      </w:r>
      <w:r>
        <w:rPr>
          <w:color w:val="auto"/>
          <w:highlight w:val="none"/>
          <w:u w:val="none"/>
        </w:rPr>
        <w:t>托管人按照规定在商业银行开立与本基金有关的</w:t>
      </w:r>
      <w:r>
        <w:rPr>
          <w:rFonts w:hint="eastAsia"/>
          <w:color w:val="auto"/>
          <w:highlight w:val="none"/>
          <w:u w:val="none"/>
        </w:rPr>
        <w:t>银行</w:t>
      </w:r>
      <w:r>
        <w:rPr>
          <w:color w:val="auto"/>
          <w:highlight w:val="none"/>
          <w:u w:val="none"/>
        </w:rPr>
        <w:t>账户，管理人应配合托管人办理账户开立事宜并提供相关资料。</w:t>
      </w:r>
    </w:p>
    <w:p>
      <w:pPr>
        <w:pStyle w:val="81"/>
        <w:rPr>
          <w:color w:val="auto"/>
          <w:highlight w:val="none"/>
          <w:u w:val="none"/>
        </w:rPr>
      </w:pPr>
      <w:r>
        <w:rPr>
          <w:rFonts w:hint="eastAsia"/>
          <w:color w:val="auto"/>
          <w:highlight w:val="none"/>
          <w:u w:val="none"/>
        </w:rPr>
        <w:t>（2）</w:t>
      </w:r>
      <w:r>
        <w:rPr>
          <w:color w:val="auto"/>
          <w:highlight w:val="none"/>
          <w:u w:val="none"/>
        </w:rPr>
        <w:t>托管账户的开设和管理由托管人负责。本基金的一切货币收支活动，包括但不限于对外投资、支付退出金额、支付基金收益、收取申购款，均需通过该账户进行。</w:t>
      </w:r>
    </w:p>
    <w:p>
      <w:pPr>
        <w:pStyle w:val="81"/>
        <w:rPr>
          <w:color w:val="auto"/>
          <w:highlight w:val="none"/>
          <w:u w:val="none"/>
        </w:rPr>
      </w:pPr>
      <w:r>
        <w:rPr>
          <w:rFonts w:hint="eastAsia"/>
          <w:color w:val="auto"/>
          <w:highlight w:val="none"/>
          <w:u w:val="none"/>
        </w:rPr>
        <w:t>（3）</w:t>
      </w:r>
      <w:r>
        <w:rPr>
          <w:color w:val="auto"/>
          <w:highlight w:val="none"/>
          <w:u w:val="none"/>
        </w:rPr>
        <w:t>托管账户的开立和使用，限于满足开展基金业务的需要。托管人和管理人不得假借本基金的名义开立其他任何银行账户；亦不得使用本基金的任何银行账户进行本基金业务以外的活动。</w:t>
      </w:r>
    </w:p>
    <w:p>
      <w:pPr>
        <w:pStyle w:val="81"/>
        <w:rPr>
          <w:color w:val="auto"/>
          <w:highlight w:val="none"/>
          <w:u w:val="none"/>
        </w:rPr>
      </w:pPr>
      <w:r>
        <w:rPr>
          <w:rFonts w:hint="eastAsia"/>
          <w:color w:val="auto"/>
          <w:highlight w:val="none"/>
          <w:u w:val="none"/>
        </w:rPr>
        <w:t>（4）</w:t>
      </w:r>
      <w:r>
        <w:rPr>
          <w:color w:val="auto"/>
          <w:highlight w:val="none"/>
          <w:u w:val="none"/>
        </w:rPr>
        <w:t>托管账户的管理应符合《人民币银行结算账户管理办法》、《现金管理暂行条例》、《支付结算办法》和中国人民银行利率管理的有关规定以及其他有关规定。</w:t>
      </w:r>
    </w:p>
    <w:p>
      <w:pPr>
        <w:pStyle w:val="81"/>
        <w:rPr>
          <w:color w:val="auto"/>
          <w:highlight w:val="none"/>
          <w:u w:val="none"/>
        </w:rPr>
      </w:pPr>
      <w:r>
        <w:rPr>
          <w:color w:val="auto"/>
          <w:highlight w:val="none"/>
          <w:u w:val="none"/>
        </w:rPr>
        <w:t>2.其他账户的开设和管理</w:t>
      </w:r>
    </w:p>
    <w:p>
      <w:pPr>
        <w:pStyle w:val="81"/>
        <w:rPr>
          <w:color w:val="auto"/>
          <w:highlight w:val="none"/>
          <w:u w:val="none"/>
        </w:rPr>
      </w:pPr>
      <w:r>
        <w:rPr>
          <w:color w:val="auto"/>
          <w:highlight w:val="none"/>
          <w:u w:val="none"/>
        </w:rPr>
        <w:t>因投资运作而需要开立的其他账户，由托管人或管理人根据有关法律法规的规定开立。如该等账户是由管理人负责开立的，管理人开立此类账户后需及时通知托管人，且应保证该账户专款专用</w:t>
      </w:r>
      <w:bookmarkStart w:id="36" w:name="_Toc194741911"/>
      <w:bookmarkStart w:id="37" w:name="_Toc260056787"/>
      <w:r>
        <w:rPr>
          <w:color w:val="auto"/>
          <w:highlight w:val="none"/>
          <w:u w:val="none"/>
        </w:rPr>
        <w:t>。</w:t>
      </w:r>
      <w:r>
        <w:rPr>
          <w:rFonts w:hint="eastAsia"/>
          <w:color w:val="auto"/>
          <w:highlight w:val="none"/>
          <w:u w:val="none"/>
        </w:rPr>
        <w:t>证券账户和期货账户的持有人名称应当符合证券、期货登记结算机构的有关规定。</w:t>
      </w:r>
    </w:p>
    <w:p>
      <w:pPr>
        <w:pStyle w:val="81"/>
        <w:rPr>
          <w:color w:val="auto"/>
          <w:highlight w:val="none"/>
          <w:u w:val="none"/>
        </w:rPr>
      </w:pPr>
      <w:r>
        <w:rPr>
          <w:color w:val="auto"/>
          <w:highlight w:val="none"/>
          <w:u w:val="none"/>
        </w:rPr>
        <w:t>3.</w:t>
      </w:r>
      <w:r>
        <w:rPr>
          <w:rFonts w:hint="eastAsia"/>
          <w:color w:val="auto"/>
          <w:highlight w:val="none"/>
          <w:u w:val="none"/>
        </w:rPr>
        <w:t>开立的上述基金财产账户与管理人、托管人、募集机构和注册登记机构自有的财产账户以及其他基金财产账户相独立。</w:t>
      </w:r>
    </w:p>
    <w:p>
      <w:pPr>
        <w:numPr>
          <w:ilvl w:val="0"/>
          <w:numId w:val="0"/>
        </w:numPr>
        <w:spacing w:line="360" w:lineRule="auto"/>
        <w:ind w:left="0" w:firstLine="422" w:firstLineChars="0"/>
        <w:rPr>
          <w:rFonts w:ascii="楷体" w:hAnsi="楷体" w:eastAsia="楷体"/>
          <w:b/>
          <w:color w:val="auto"/>
          <w:highlight w:val="none"/>
          <w:u w:val="none"/>
        </w:rPr>
      </w:pPr>
      <w:r>
        <w:rPr>
          <w:rFonts w:ascii="楷体" w:hAnsi="楷体" w:eastAsia="楷体"/>
          <w:b/>
          <w:color w:val="auto"/>
          <w:highlight w:val="none"/>
          <w:u w:val="none"/>
        </w:rPr>
        <w:t>4.对于非由托管人管理的账户，托管人不承担保管职责。</w:t>
      </w:r>
    </w:p>
    <w:p>
      <w:pPr>
        <w:pStyle w:val="4"/>
        <w:snapToGrid/>
        <w:spacing w:beforeLines="100" w:afterLines="50"/>
        <w:rPr>
          <w:rFonts w:ascii="楷体" w:hAnsi="楷体" w:eastAsia="楷体"/>
          <w:color w:val="auto"/>
          <w:sz w:val="24"/>
          <w:highlight w:val="none"/>
          <w:u w:val="none"/>
        </w:rPr>
      </w:pPr>
      <w:bookmarkStart w:id="38" w:name="_Toc482974538"/>
      <w:r>
        <w:rPr>
          <w:rFonts w:ascii="楷体" w:hAnsi="楷体" w:eastAsia="楷体"/>
          <w:color w:val="auto"/>
          <w:sz w:val="24"/>
          <w:highlight w:val="none"/>
          <w:u w:val="none"/>
        </w:rPr>
        <w:t>第十</w:t>
      </w:r>
      <w:r>
        <w:rPr>
          <w:rFonts w:hint="eastAsia" w:ascii="楷体" w:hAnsi="楷体" w:eastAsia="楷体"/>
          <w:color w:val="auto"/>
          <w:sz w:val="24"/>
          <w:highlight w:val="none"/>
          <w:u w:val="none"/>
        </w:rPr>
        <w:t>四</w:t>
      </w:r>
      <w:r>
        <w:rPr>
          <w:rFonts w:ascii="楷体" w:hAnsi="楷体" w:eastAsia="楷体"/>
          <w:color w:val="auto"/>
          <w:sz w:val="24"/>
          <w:highlight w:val="none"/>
          <w:u w:val="none"/>
        </w:rPr>
        <w:t>节划款指令的发送、确认与执行</w:t>
      </w:r>
      <w:bookmarkEnd w:id="36"/>
      <w:bookmarkEnd w:id="37"/>
      <w:bookmarkEnd w:id="38"/>
    </w:p>
    <w:p>
      <w:pPr>
        <w:pStyle w:val="81"/>
        <w:rPr>
          <w:color w:val="auto"/>
          <w:highlight w:val="none"/>
          <w:u w:val="none"/>
        </w:rPr>
      </w:pPr>
      <w:r>
        <w:rPr>
          <w:color w:val="auto"/>
          <w:highlight w:val="none"/>
          <w:u w:val="none"/>
        </w:rPr>
        <w:t>(</w:t>
      </w:r>
      <w:r>
        <w:rPr>
          <w:rFonts w:hint="eastAsia"/>
          <w:color w:val="auto"/>
          <w:highlight w:val="none"/>
          <w:u w:val="none"/>
        </w:rPr>
        <w:t>一</w:t>
      </w:r>
      <w:r>
        <w:rPr>
          <w:color w:val="auto"/>
          <w:highlight w:val="none"/>
          <w:u w:val="none"/>
        </w:rPr>
        <w:t>)交易清算授权</w:t>
      </w:r>
    </w:p>
    <w:p>
      <w:pPr>
        <w:pStyle w:val="81"/>
        <w:rPr>
          <w:color w:val="auto"/>
          <w:highlight w:val="none"/>
          <w:u w:val="none"/>
        </w:rPr>
      </w:pPr>
      <w:r>
        <w:rPr>
          <w:color w:val="auto"/>
          <w:highlight w:val="none"/>
          <w:u w:val="none"/>
        </w:rPr>
        <w:t>管理人应事先向托管人发送书面授权通知（以下称</w:t>
      </w:r>
      <w:r>
        <w:rPr>
          <w:rFonts w:hint="eastAsia"/>
          <w:color w:val="auto"/>
          <w:highlight w:val="none"/>
          <w:u w:val="none"/>
        </w:rPr>
        <w:t>“</w:t>
      </w:r>
      <w:r>
        <w:rPr>
          <w:color w:val="auto"/>
          <w:highlight w:val="none"/>
          <w:u w:val="none"/>
        </w:rPr>
        <w:t>授权通知</w:t>
      </w:r>
      <w:r>
        <w:rPr>
          <w:rFonts w:hint="eastAsia"/>
          <w:color w:val="auto"/>
          <w:highlight w:val="none"/>
          <w:u w:val="none"/>
        </w:rPr>
        <w:t>”</w:t>
      </w:r>
      <w:r>
        <w:rPr>
          <w:color w:val="auto"/>
          <w:highlight w:val="none"/>
          <w:u w:val="none"/>
        </w:rPr>
        <w:t>）正本，指定有权向托管人发送划款指令的被授权人员，授权通知应包括被授权人的名单、权限、预留印鉴和签章样本。授权通知应加盖管理人公章并注明生效时间，托管人在收到授权通知当日以录音电话的方式向管理人进行确认。授权通知经托管人确认后于授权通知载明的生效时间生效。但如托管人收到授权通知的日期晚于授权通知载明的生效时间，则授权通知自托管人确认收到该授权通知之日生效。</w:t>
      </w:r>
    </w:p>
    <w:p>
      <w:pPr>
        <w:pStyle w:val="81"/>
        <w:rPr>
          <w:color w:val="auto"/>
          <w:highlight w:val="none"/>
          <w:u w:val="none"/>
        </w:rPr>
      </w:pPr>
      <w:r>
        <w:rPr>
          <w:color w:val="auto"/>
          <w:highlight w:val="none"/>
          <w:u w:val="none"/>
        </w:rPr>
        <w:t>(二)划款指令的内容</w:t>
      </w:r>
    </w:p>
    <w:p>
      <w:pPr>
        <w:pStyle w:val="81"/>
        <w:rPr>
          <w:color w:val="auto"/>
          <w:highlight w:val="none"/>
          <w:u w:val="none"/>
        </w:rPr>
      </w:pPr>
      <w:r>
        <w:rPr>
          <w:color w:val="auto"/>
          <w:highlight w:val="none"/>
          <w:u w:val="none"/>
        </w:rPr>
        <w:t>划款指令是在管理基金财产时，管理人向托管人发出的资金划拨及其他款项支付的指令。管理人发给托管人的指令应写明</w:t>
      </w:r>
      <w:r>
        <w:rPr>
          <w:rFonts w:hint="eastAsia"/>
          <w:color w:val="auto"/>
          <w:highlight w:val="none"/>
          <w:u w:val="none"/>
        </w:rPr>
        <w:t>本基金全称、付款方账户信息、</w:t>
      </w:r>
      <w:r>
        <w:rPr>
          <w:color w:val="auto"/>
          <w:highlight w:val="none"/>
          <w:u w:val="none"/>
        </w:rPr>
        <w:t>收款</w:t>
      </w:r>
      <w:r>
        <w:rPr>
          <w:rFonts w:hint="eastAsia"/>
          <w:color w:val="auto"/>
          <w:highlight w:val="none"/>
          <w:u w:val="none"/>
        </w:rPr>
        <w:t>方</w:t>
      </w:r>
      <w:r>
        <w:rPr>
          <w:color w:val="auto"/>
          <w:highlight w:val="none"/>
          <w:u w:val="none"/>
        </w:rPr>
        <w:t>账户信息、</w:t>
      </w:r>
      <w:r>
        <w:rPr>
          <w:rFonts w:hint="eastAsia"/>
          <w:color w:val="auto"/>
          <w:highlight w:val="none"/>
          <w:u w:val="none"/>
        </w:rPr>
        <w:t>支付日期</w:t>
      </w:r>
      <w:r>
        <w:rPr>
          <w:color w:val="auto"/>
          <w:highlight w:val="none"/>
          <w:u w:val="none"/>
        </w:rPr>
        <w:t>、</w:t>
      </w:r>
      <w:r>
        <w:rPr>
          <w:rFonts w:hint="eastAsia"/>
          <w:color w:val="auto"/>
          <w:highlight w:val="none"/>
          <w:u w:val="none"/>
        </w:rPr>
        <w:t>付款</w:t>
      </w:r>
      <w:r>
        <w:rPr>
          <w:color w:val="auto"/>
          <w:highlight w:val="none"/>
          <w:u w:val="none"/>
        </w:rPr>
        <w:t>金额、</w:t>
      </w:r>
      <w:r>
        <w:rPr>
          <w:rFonts w:hint="eastAsia"/>
          <w:color w:val="auto"/>
          <w:highlight w:val="none"/>
          <w:u w:val="none"/>
        </w:rPr>
        <w:t>事由</w:t>
      </w:r>
      <w:r>
        <w:rPr>
          <w:color w:val="auto"/>
          <w:highlight w:val="none"/>
          <w:u w:val="none"/>
        </w:rPr>
        <w:t>等，加盖预留印鉴并由被授权人签字或签章。</w:t>
      </w:r>
      <w:r>
        <w:rPr>
          <w:rFonts w:hint="eastAsia"/>
          <w:color w:val="auto"/>
          <w:highlight w:val="none"/>
          <w:u w:val="none"/>
        </w:rPr>
        <w:t>采用电子划款指令的，管理人应与托管人就指令发送的签字、内容、方式、有效性等方面另行签订协议。</w:t>
      </w:r>
    </w:p>
    <w:p>
      <w:pPr>
        <w:pStyle w:val="81"/>
        <w:rPr>
          <w:color w:val="auto"/>
          <w:highlight w:val="none"/>
          <w:u w:val="none"/>
        </w:rPr>
      </w:pPr>
      <w:r>
        <w:rPr>
          <w:color w:val="auto"/>
          <w:highlight w:val="none"/>
          <w:u w:val="none"/>
        </w:rPr>
        <w:t>(三)划款指令的发送、确认和执行的时间和程序</w:t>
      </w:r>
    </w:p>
    <w:p>
      <w:pPr>
        <w:pStyle w:val="81"/>
        <w:rPr>
          <w:color w:val="auto"/>
          <w:highlight w:val="none"/>
          <w:u w:val="none"/>
        </w:rPr>
      </w:pPr>
      <w:r>
        <w:rPr>
          <w:color w:val="auto"/>
          <w:highlight w:val="none"/>
          <w:u w:val="none"/>
        </w:rPr>
        <w:t>划款指令由授权通知确定的有权发送人（下称</w:t>
      </w:r>
      <w:r>
        <w:rPr>
          <w:rFonts w:hint="eastAsia"/>
          <w:color w:val="auto"/>
          <w:highlight w:val="none"/>
          <w:u w:val="none"/>
        </w:rPr>
        <w:t>“</w:t>
      </w:r>
      <w:r>
        <w:rPr>
          <w:color w:val="auto"/>
          <w:highlight w:val="none"/>
          <w:u w:val="none"/>
        </w:rPr>
        <w:t>被授权人</w:t>
      </w:r>
      <w:r>
        <w:rPr>
          <w:rFonts w:hint="eastAsia"/>
          <w:color w:val="auto"/>
          <w:highlight w:val="none"/>
          <w:u w:val="none"/>
        </w:rPr>
        <w:t>”</w:t>
      </w:r>
      <w:r>
        <w:rPr>
          <w:color w:val="auto"/>
          <w:highlight w:val="none"/>
          <w:u w:val="none"/>
        </w:rPr>
        <w:t>）代表管理人用传真、电子邮件（为免歧义，本节所指“电子邮件方式”均指以电子邮件发送扫描件方式）或托管人和管理人认可的其他方式向托管人发送。管理人有义务在发送指令后与托管人以录音电话的方式进行确认。指令以获得收件人（托管人）确认该指令已成功接收之时视为送达收件人（托管人）。因管理人未能及时与托管人进行指令确认，致使资金未能及时清算所造成的损失，托管人不承担责任。托管人依照授权通知规定的方法对指令进行表面审慎验证确认指令有效后，方可执行划款指令。</w:t>
      </w:r>
    </w:p>
    <w:p>
      <w:pPr>
        <w:pStyle w:val="81"/>
        <w:rPr>
          <w:color w:val="auto"/>
          <w:highlight w:val="none"/>
          <w:u w:val="none"/>
        </w:rPr>
      </w:pPr>
      <w:r>
        <w:rPr>
          <w:color w:val="auto"/>
          <w:highlight w:val="none"/>
          <w:u w:val="none"/>
        </w:rPr>
        <w:t>对于被授权人依照授权通知发出的划款指令，管理人不得否认其效力。管理人应按照相关法律法规以及本合同的规定，在其合法的经营权限和交易权限内发送划款指令，被授权人应按照其授权权限发送划款指令。管理人在发送划款指令时，应为托管人留出执行划款指令所必需的时间。管理人发送</w:t>
      </w:r>
      <w:r>
        <w:rPr>
          <w:rFonts w:hint="eastAsia"/>
          <w:color w:val="auto"/>
          <w:highlight w:val="none"/>
          <w:u w:val="none"/>
        </w:rPr>
        <w:t>银证、银期、银衍转账的</w:t>
      </w:r>
      <w:r>
        <w:rPr>
          <w:color w:val="auto"/>
          <w:highlight w:val="none"/>
          <w:u w:val="none"/>
        </w:rPr>
        <w:t>有效划款指令的截止时间为每一个工作日的13:30</w:t>
      </w:r>
      <w:r>
        <w:rPr>
          <w:rFonts w:hint="eastAsia"/>
          <w:color w:val="auto"/>
          <w:highlight w:val="none"/>
          <w:u w:val="none"/>
        </w:rPr>
        <w:t>，发送银行转账的有效划款指令的截止时间为每一个工作日的</w:t>
      </w:r>
      <w:r>
        <w:rPr>
          <w:color w:val="auto"/>
          <w:highlight w:val="none"/>
          <w:u w:val="none"/>
        </w:rPr>
        <w:t>15:00</w:t>
      </w:r>
      <w:r>
        <w:rPr>
          <w:rFonts w:hint="eastAsia"/>
          <w:color w:val="auto"/>
          <w:highlight w:val="none"/>
          <w:u w:val="none"/>
        </w:rPr>
        <w:t>；</w:t>
      </w:r>
      <w:r>
        <w:rPr>
          <w:color w:val="auto"/>
          <w:highlight w:val="none"/>
          <w:u w:val="none"/>
        </w:rPr>
        <w:t>如管理人要求当天某一时点到账，则划款指令需提前2个工作小时发送</w:t>
      </w:r>
      <w:r>
        <w:rPr>
          <w:rFonts w:hint="eastAsia"/>
          <w:color w:val="auto"/>
          <w:highlight w:val="none"/>
          <w:u w:val="none"/>
        </w:rPr>
        <w:t>；管理人</w:t>
      </w:r>
      <w:r>
        <w:rPr>
          <w:color w:val="auto"/>
          <w:highlight w:val="none"/>
          <w:u w:val="none"/>
        </w:rPr>
        <w:t>和托管人可另行书面</w:t>
      </w:r>
      <w:r>
        <w:rPr>
          <w:rFonts w:hint="eastAsia"/>
          <w:color w:val="auto"/>
          <w:highlight w:val="none"/>
          <w:u w:val="none"/>
        </w:rPr>
        <w:t>约定</w:t>
      </w:r>
      <w:r>
        <w:rPr>
          <w:color w:val="auto"/>
          <w:highlight w:val="none"/>
          <w:u w:val="none"/>
        </w:rPr>
        <w:t>关于某一类划款指令</w:t>
      </w:r>
      <w:r>
        <w:rPr>
          <w:rFonts w:hint="eastAsia"/>
          <w:color w:val="auto"/>
          <w:highlight w:val="none"/>
          <w:u w:val="none"/>
        </w:rPr>
        <w:t>的</w:t>
      </w:r>
      <w:r>
        <w:rPr>
          <w:color w:val="auto"/>
          <w:highlight w:val="none"/>
          <w:u w:val="none"/>
        </w:rPr>
        <w:t>具体时限要求。管理人发送的划款指令</w:t>
      </w:r>
      <w:r>
        <w:rPr>
          <w:rFonts w:hint="eastAsia"/>
          <w:color w:val="auto"/>
          <w:highlight w:val="none"/>
          <w:u w:val="none"/>
        </w:rPr>
        <w:t>不符合前述</w:t>
      </w:r>
      <w:r>
        <w:rPr>
          <w:color w:val="auto"/>
          <w:highlight w:val="none"/>
          <w:u w:val="none"/>
        </w:rPr>
        <w:t>时限要求的，托管人尽力配合执行，但不保证划款成功。由管理人原因造成的指令传输不及时、未能留出足够划款所需时间，致使资金未能及时清算所造成的损失由管理人承担。</w:t>
      </w:r>
    </w:p>
    <w:p>
      <w:pPr>
        <w:pStyle w:val="81"/>
        <w:rPr>
          <w:color w:val="auto"/>
          <w:highlight w:val="none"/>
          <w:u w:val="none"/>
        </w:rPr>
      </w:pPr>
      <w:r>
        <w:rPr>
          <w:color w:val="auto"/>
          <w:highlight w:val="none"/>
          <w:u w:val="none"/>
        </w:rPr>
        <w:t>托管人收到管理人发送的划款指令后，应对划款指令进行形式审查，复核无误后应在规定期限内及时执行，不得延误。为免歧义，托管人的形式审查义务仅限于：1.确认划款指令要素（限于日期、金额、收款人名称、账号、开户行、用途）齐全，指向的交易内容符合本合同约定；2.确认划款指令上加盖的印鉴和被授权人的签字/签章与授权通知中预留印鉴和签章样本表面相符。前述审查原则适用于本合同项下所有划款指令传真件或电子邮件。托管人不对划款指令中加盖的印鉴及被授权人签字/签章的真实性、有效性负责，因管理人提交的划款指令中加盖的印鉴或被授权人签字/签章不真实、无效产生的责任或给基金资产带来的损失由资产管理人承担，与托管人无关。</w:t>
      </w:r>
    </w:p>
    <w:p>
      <w:pPr>
        <w:pStyle w:val="81"/>
        <w:rPr>
          <w:color w:val="auto"/>
          <w:highlight w:val="none"/>
          <w:u w:val="none"/>
        </w:rPr>
      </w:pPr>
      <w:r>
        <w:rPr>
          <w:color w:val="auto"/>
          <w:highlight w:val="none"/>
          <w:u w:val="none"/>
        </w:rPr>
        <w:t>若存在异议或不符，托管人应与管理人指定人员进行电话联系和沟通，暂停划款指令的执行并要求管理人重新发送经修改的划款指令。托管人有权要求管理人以传真或电子邮件形式提供相关交易凭证、投资协议或其他有效会计资料（上述资料应加盖管理人公章），待收齐相关资料并判断划款指令有效后重新开始执行划款指令。管理人应在合理时间内补充相关资料，并给托管人执行划款指令预留必要的执行时间。管理人应保证其提交的上述文件资料的真实、合法、完整和有效，托管人不负责审查该等文件资料的真实性、合法性、完整性和有效性。</w:t>
      </w:r>
    </w:p>
    <w:p>
      <w:pPr>
        <w:pStyle w:val="81"/>
        <w:rPr>
          <w:color w:val="auto"/>
          <w:highlight w:val="none"/>
          <w:u w:val="none"/>
        </w:rPr>
      </w:pPr>
      <w:r>
        <w:rPr>
          <w:color w:val="auto"/>
          <w:highlight w:val="none"/>
          <w:u w:val="none"/>
        </w:rPr>
        <w:t>管理人向托管人下达划款指令时，应确保本基金托管账户有足够的资金余额，对管理人在没有充足资金的情况下向托管人发出的划款指令，托管人可不予执行，并立即通知管理人，托管人不承担因为不执行该划款指令而造成损失的责任。</w:t>
      </w:r>
    </w:p>
    <w:p>
      <w:pPr>
        <w:pStyle w:val="81"/>
        <w:rPr>
          <w:color w:val="auto"/>
          <w:highlight w:val="none"/>
          <w:u w:val="none"/>
        </w:rPr>
      </w:pPr>
      <w:r>
        <w:rPr>
          <w:color w:val="auto"/>
          <w:highlight w:val="none"/>
          <w:u w:val="none"/>
        </w:rPr>
        <w:t>(四)托管人依照法律法规暂缓、拒绝执行划款指令的情形和处理程序</w:t>
      </w:r>
    </w:p>
    <w:p>
      <w:pPr>
        <w:pStyle w:val="81"/>
        <w:rPr>
          <w:color w:val="auto"/>
          <w:highlight w:val="none"/>
          <w:u w:val="none"/>
        </w:rPr>
      </w:pPr>
      <w:r>
        <w:rPr>
          <w:color w:val="auto"/>
          <w:highlight w:val="none"/>
          <w:u w:val="none"/>
        </w:rPr>
        <w:t>托管人发现管理人发送的划款指令违反《中华人民共和国证券投资基金法》、《暂行办法》</w:t>
      </w:r>
      <w:r>
        <w:rPr>
          <w:rFonts w:hint="eastAsia"/>
          <w:color w:val="auto"/>
          <w:highlight w:val="none"/>
          <w:u w:val="none"/>
        </w:rPr>
        <w:t>、</w:t>
      </w:r>
      <w:r>
        <w:rPr>
          <w:color w:val="auto"/>
          <w:highlight w:val="none"/>
          <w:u w:val="none"/>
        </w:rPr>
        <w:t>《</w:t>
      </w:r>
      <w:r>
        <w:rPr>
          <w:rFonts w:hint="eastAsia"/>
          <w:color w:val="auto"/>
          <w:highlight w:val="none"/>
          <w:u w:val="none"/>
        </w:rPr>
        <w:t>暂行</w:t>
      </w:r>
      <w:r>
        <w:rPr>
          <w:color w:val="auto"/>
          <w:highlight w:val="none"/>
          <w:u w:val="none"/>
        </w:rPr>
        <w:t>规定》</w:t>
      </w:r>
      <w:r>
        <w:rPr>
          <w:rFonts w:hint="eastAsia"/>
          <w:color w:val="auto"/>
          <w:highlight w:val="none"/>
          <w:u w:val="none"/>
        </w:rPr>
        <w:t>、</w:t>
      </w:r>
      <w:r>
        <w:rPr>
          <w:color w:val="auto"/>
          <w:highlight w:val="none"/>
          <w:u w:val="none"/>
        </w:rPr>
        <w:t>本合同或其他有关法律法规的规定时，不予执行，并应及时以书面形式通知管理人纠正，管理人收到通知后应及时核对，并以书面形式对托管人发出回函确认，由此造成的损失由管理人承担。</w:t>
      </w:r>
    </w:p>
    <w:p>
      <w:pPr>
        <w:pStyle w:val="81"/>
        <w:rPr>
          <w:color w:val="auto"/>
          <w:highlight w:val="none"/>
          <w:u w:val="none"/>
        </w:rPr>
      </w:pPr>
      <w:r>
        <w:rPr>
          <w:color w:val="auto"/>
          <w:highlight w:val="none"/>
          <w:u w:val="none"/>
        </w:rPr>
        <w:t>(五)管理人发送错误划款指令的情形和处理程序</w:t>
      </w:r>
    </w:p>
    <w:p>
      <w:pPr>
        <w:pStyle w:val="81"/>
        <w:rPr>
          <w:color w:val="auto"/>
          <w:highlight w:val="none"/>
          <w:u w:val="none"/>
        </w:rPr>
      </w:pPr>
      <w:r>
        <w:rPr>
          <w:color w:val="auto"/>
          <w:highlight w:val="none"/>
          <w:u w:val="none"/>
        </w:rPr>
        <w:t>管理人发送错误划款指令的情形包括指令发送人员无权或超越权限发送划款指令及交割信息错误、划款指令中重要信息模糊不清或不全等。托管人在履行监督职能时，发现管理人的划款指令错误时，有权拒绝执行，并及时通知管理人改正。</w:t>
      </w:r>
    </w:p>
    <w:p>
      <w:pPr>
        <w:pStyle w:val="81"/>
        <w:rPr>
          <w:color w:val="auto"/>
          <w:highlight w:val="none"/>
          <w:u w:val="none"/>
        </w:rPr>
      </w:pPr>
      <w:r>
        <w:rPr>
          <w:color w:val="auto"/>
          <w:highlight w:val="none"/>
          <w:u w:val="none"/>
        </w:rPr>
        <w:t>(六)更换被授权人的程序</w:t>
      </w:r>
    </w:p>
    <w:p>
      <w:pPr>
        <w:pStyle w:val="81"/>
        <w:rPr>
          <w:color w:val="auto"/>
          <w:highlight w:val="none"/>
          <w:u w:val="none"/>
        </w:rPr>
      </w:pPr>
      <w:r>
        <w:rPr>
          <w:color w:val="auto"/>
          <w:highlight w:val="none"/>
          <w:u w:val="none"/>
        </w:rPr>
        <w:t>管理人撤换被授权人员或改变被授权人员的权限，必须提前至少一个工作日，使用传真、电子邮件或管理人和托管人认可的其他方式向托管人发出加盖管理人公章的书面变更通知（</w:t>
      </w:r>
      <w:r>
        <w:rPr>
          <w:rFonts w:hint="eastAsia"/>
          <w:color w:val="auto"/>
          <w:highlight w:val="none"/>
          <w:u w:val="none"/>
        </w:rPr>
        <w:t>“</w:t>
      </w:r>
      <w:r>
        <w:rPr>
          <w:color w:val="auto"/>
          <w:highlight w:val="none"/>
          <w:u w:val="none"/>
        </w:rPr>
        <w:t>变更通知</w:t>
      </w:r>
      <w:r>
        <w:rPr>
          <w:rFonts w:hint="eastAsia"/>
          <w:color w:val="auto"/>
          <w:highlight w:val="none"/>
          <w:u w:val="none"/>
        </w:rPr>
        <w:t>”</w:t>
      </w:r>
      <w:r>
        <w:rPr>
          <w:color w:val="auto"/>
          <w:highlight w:val="none"/>
          <w:u w:val="none"/>
        </w:rPr>
        <w:t>），同时电话通知托管人，托管人收到变更通知当日通过录音电话方式向管理人进行确认。被授权人变更的通知须列明新授权的起始日期。变更通知的生效日期按照变更通知上列明的新授权的起始日期与托管人确认收到的日期孰晚原则确定。管理人在此后三日内将被授权人变更通知的正本送交托管人。变更通知书面正本内容与托管人收到的传真件/电子邮件不一致的，以托管人收到的传真件/电子邮件为准。</w:t>
      </w:r>
    </w:p>
    <w:p>
      <w:pPr>
        <w:pStyle w:val="81"/>
        <w:rPr>
          <w:color w:val="auto"/>
          <w:highlight w:val="none"/>
          <w:u w:val="none"/>
        </w:rPr>
      </w:pPr>
      <w:r>
        <w:rPr>
          <w:color w:val="auto"/>
          <w:highlight w:val="none"/>
          <w:u w:val="none"/>
        </w:rPr>
        <w:t>(七)划款指令的保管</w:t>
      </w:r>
    </w:p>
    <w:p>
      <w:pPr>
        <w:pStyle w:val="81"/>
        <w:rPr>
          <w:color w:val="auto"/>
          <w:highlight w:val="none"/>
          <w:u w:val="none"/>
        </w:rPr>
      </w:pPr>
      <w:r>
        <w:rPr>
          <w:color w:val="auto"/>
          <w:highlight w:val="none"/>
          <w:u w:val="none"/>
        </w:rPr>
        <w:t>划款指令若以传真或电子邮件形式发出，则正本由管理人保管，托管人保管指令传真件或电子邮件。当两者不一致时，以托管人收到的指令传真件或电子邮件为准。</w:t>
      </w:r>
    </w:p>
    <w:p>
      <w:pPr>
        <w:pStyle w:val="81"/>
        <w:rPr>
          <w:color w:val="auto"/>
          <w:highlight w:val="none"/>
          <w:u w:val="none"/>
        </w:rPr>
      </w:pPr>
      <w:r>
        <w:rPr>
          <w:color w:val="auto"/>
          <w:highlight w:val="none"/>
          <w:u w:val="none"/>
        </w:rPr>
        <w:t>(八)相关责任</w:t>
      </w:r>
    </w:p>
    <w:p>
      <w:pPr>
        <w:pStyle w:val="81"/>
        <w:rPr>
          <w:color w:val="auto"/>
          <w:highlight w:val="none"/>
          <w:u w:val="none"/>
        </w:rPr>
      </w:pPr>
      <w:r>
        <w:rPr>
          <w:color w:val="auto"/>
          <w:highlight w:val="none"/>
          <w:u w:val="none"/>
        </w:rPr>
        <w:t>托管人正确执行管理人发出的符合本合同约定的划款指令，基金财产发生损失的，托管人不承担任何形式的责任。在正常业务受理渠道和划款指令规定的时间内，因托管人</w:t>
      </w:r>
      <w:r>
        <w:rPr>
          <w:rFonts w:hint="eastAsia"/>
          <w:color w:val="auto"/>
          <w:highlight w:val="none"/>
          <w:u w:val="none"/>
        </w:rPr>
        <w:t>存在过错而</w:t>
      </w:r>
      <w:r>
        <w:rPr>
          <w:color w:val="auto"/>
          <w:highlight w:val="none"/>
          <w:u w:val="none"/>
        </w:rPr>
        <w:t>未能及时或正确执行符合本合同规定的划款指令而导致基金财产受损的，托管人应承担相应的责任，但托管人如遇到不可抗力的情况除外。</w:t>
      </w:r>
    </w:p>
    <w:p>
      <w:pPr>
        <w:pStyle w:val="81"/>
        <w:rPr>
          <w:color w:val="auto"/>
          <w:highlight w:val="none"/>
          <w:u w:val="none"/>
        </w:rPr>
      </w:pPr>
      <w:r>
        <w:rPr>
          <w:color w:val="auto"/>
          <w:highlight w:val="none"/>
          <w:u w:val="none"/>
        </w:rPr>
        <w:t>如果管理人的划款指令存在事实上未经授权、欺诈、伪造或未能按时提供划款指令人员的预留印鉴和签章样本或发送划款指令时提交的文件资料不真实、不合法、不完整或失去效力等非托管人原因造成的情形，只要托管人根据本合同相关规定履行形式审核职责，托管人不承担因执行有关划款指令或拒绝执行有关划款指令而给管理人或基金财产或任何第三人带来的损失，全部责任由管理人承担，但托管人未按合同约定</w:t>
      </w:r>
      <w:r>
        <w:rPr>
          <w:rFonts w:hint="eastAsia"/>
          <w:color w:val="auto"/>
          <w:highlight w:val="none"/>
          <w:u w:val="none"/>
        </w:rPr>
        <w:t>履行</w:t>
      </w:r>
      <w:r>
        <w:rPr>
          <w:color w:val="auto"/>
          <w:highlight w:val="none"/>
          <w:u w:val="none"/>
        </w:rPr>
        <w:t>形式审核义务执行划款指令而造成损失的情况除外。</w:t>
      </w:r>
    </w:p>
    <w:p>
      <w:pPr>
        <w:pStyle w:val="4"/>
        <w:snapToGrid/>
        <w:spacing w:beforeLines="100" w:afterLines="50"/>
        <w:rPr>
          <w:rFonts w:ascii="楷体" w:hAnsi="楷体" w:eastAsia="楷体"/>
          <w:color w:val="auto"/>
          <w:sz w:val="24"/>
          <w:highlight w:val="none"/>
          <w:u w:val="none"/>
        </w:rPr>
      </w:pPr>
      <w:bookmarkStart w:id="39" w:name="_Toc260056788"/>
      <w:bookmarkStart w:id="40" w:name="_Toc482974539"/>
      <w:bookmarkStart w:id="41" w:name="_Toc194741912"/>
      <w:bookmarkStart w:id="42" w:name="OLE_LINK2"/>
      <w:r>
        <w:rPr>
          <w:rFonts w:ascii="楷体" w:hAnsi="楷体" w:eastAsia="楷体"/>
          <w:color w:val="auto"/>
          <w:sz w:val="24"/>
          <w:highlight w:val="none"/>
          <w:u w:val="none"/>
        </w:rPr>
        <w:t>第十</w:t>
      </w:r>
      <w:r>
        <w:rPr>
          <w:rFonts w:hint="eastAsia" w:ascii="楷体" w:hAnsi="楷体" w:eastAsia="楷体"/>
          <w:color w:val="auto"/>
          <w:sz w:val="24"/>
          <w:highlight w:val="none"/>
          <w:u w:val="none"/>
        </w:rPr>
        <w:t>五</w:t>
      </w:r>
      <w:r>
        <w:rPr>
          <w:rFonts w:ascii="楷体" w:hAnsi="楷体" w:eastAsia="楷体"/>
          <w:color w:val="auto"/>
          <w:sz w:val="24"/>
          <w:highlight w:val="none"/>
          <w:u w:val="none"/>
        </w:rPr>
        <w:t>节交易及清算交收安排</w:t>
      </w:r>
      <w:bookmarkEnd w:id="39"/>
      <w:bookmarkEnd w:id="40"/>
      <w:bookmarkEnd w:id="41"/>
    </w:p>
    <w:bookmarkEnd w:id="42"/>
    <w:p>
      <w:pPr>
        <w:pStyle w:val="47"/>
        <w:widowControl/>
        <w:numPr>
          <w:ilvl w:val="0"/>
          <w:numId w:val="0"/>
        </w:numPr>
        <w:spacing w:line="360" w:lineRule="auto"/>
        <w:ind w:left="0" w:firstLine="420" w:firstLineChars="0"/>
        <w:rPr>
          <w:rFonts w:ascii="楷体" w:hAnsi="楷体" w:eastAsia="楷体" w:cs="宋体"/>
          <w:color w:val="auto"/>
          <w:kern w:val="0"/>
          <w:szCs w:val="21"/>
          <w:highlight w:val="none"/>
          <w:u w:val="none"/>
        </w:rPr>
      </w:pPr>
      <w:bookmarkStart w:id="43" w:name="_Toc194292255"/>
      <w:bookmarkStart w:id="44" w:name="_Toc233017924"/>
      <w:bookmarkStart w:id="45" w:name="_Toc22454452"/>
      <w:bookmarkStart w:id="46" w:name="_Toc48703904"/>
      <w:bookmarkStart w:id="47" w:name="_Toc231607621"/>
      <w:bookmarkStart w:id="48" w:name="_Toc194741913"/>
      <w:bookmarkStart w:id="49" w:name="_Toc199729565"/>
      <w:r>
        <w:rPr>
          <w:rFonts w:hint="eastAsia" w:ascii="楷体" w:hAnsi="楷体" w:eastAsia="楷体" w:cs="宋体"/>
          <w:color w:val="auto"/>
          <w:kern w:val="0"/>
          <w:szCs w:val="21"/>
          <w:highlight w:val="none"/>
          <w:u w:val="none"/>
        </w:rPr>
        <w:t>（一）选择证券经纪机构及证券投资资金清算安排</w:t>
      </w:r>
    </w:p>
    <w:p>
      <w:pPr>
        <w:pStyle w:val="81"/>
        <w:rPr>
          <w:rFonts w:ascii="楷体" w:hAnsi="楷体" w:eastAsia="楷体"/>
          <w:color w:val="auto"/>
          <w:kern w:val="0"/>
          <w:szCs w:val="21"/>
          <w:highlight w:val="none"/>
          <w:u w:val="none"/>
        </w:rPr>
      </w:pPr>
      <w:r>
        <w:rPr>
          <w:color w:val="auto"/>
          <w:kern w:val="0"/>
          <w:szCs w:val="21"/>
          <w:highlight w:val="none"/>
          <w:u w:val="none"/>
        </w:rPr>
        <w:t>1.</w:t>
      </w:r>
      <w:r>
        <w:rPr>
          <w:rFonts w:hint="eastAsia"/>
          <w:color w:val="auto"/>
          <w:kern w:val="0"/>
          <w:szCs w:val="21"/>
          <w:highlight w:val="none"/>
          <w:u w:val="none"/>
        </w:rPr>
        <w:t>选择代理证券买卖的证券经营机构的程序</w:t>
      </w:r>
    </w:p>
    <w:p>
      <w:pPr>
        <w:pStyle w:val="81"/>
        <w:rPr>
          <w:rFonts w:ascii="楷体" w:hAnsi="楷体" w:eastAsia="楷体"/>
          <w:color w:val="auto"/>
          <w:kern w:val="0"/>
          <w:szCs w:val="21"/>
          <w:highlight w:val="none"/>
          <w:u w:val="none"/>
        </w:rPr>
      </w:pPr>
      <w:r>
        <w:rPr>
          <w:rFonts w:hint="eastAsia"/>
          <w:color w:val="auto"/>
          <w:kern w:val="0"/>
          <w:szCs w:val="21"/>
          <w:highlight w:val="none"/>
          <w:u w:val="none"/>
        </w:rPr>
        <w:t>（</w:t>
      </w:r>
      <w:r>
        <w:rPr>
          <w:color w:val="auto"/>
          <w:kern w:val="0"/>
          <w:szCs w:val="21"/>
          <w:highlight w:val="none"/>
          <w:u w:val="none"/>
        </w:rPr>
        <w:t>1）</w:t>
      </w:r>
      <w:r>
        <w:rPr>
          <w:rFonts w:hint="eastAsia"/>
          <w:color w:val="auto"/>
          <w:kern w:val="0"/>
          <w:szCs w:val="21"/>
          <w:highlight w:val="none"/>
          <w:u w:val="none"/>
        </w:rPr>
        <w:t>管理人负责选择代理本基金财产证券买卖的证券经营机构，并与其签订证券交易委托代理协议。除非托管人书面同意，本基金的证券经营机构不得超过</w:t>
      </w:r>
      <w:r>
        <w:rPr>
          <w:color w:val="auto"/>
          <w:kern w:val="0"/>
          <w:szCs w:val="21"/>
          <w:highlight w:val="none"/>
          <w:u w:val="none"/>
        </w:rPr>
        <w:t>1</w:t>
      </w:r>
      <w:r>
        <w:rPr>
          <w:rFonts w:hint="eastAsia"/>
          <w:color w:val="auto"/>
          <w:kern w:val="0"/>
          <w:szCs w:val="21"/>
          <w:highlight w:val="none"/>
          <w:u w:val="none"/>
        </w:rPr>
        <w:t>家。</w:t>
      </w:r>
    </w:p>
    <w:p>
      <w:pPr>
        <w:pStyle w:val="81"/>
        <w:rPr>
          <w:rFonts w:ascii="楷体" w:hAnsi="楷体" w:eastAsia="楷体"/>
          <w:color w:val="auto"/>
          <w:kern w:val="0"/>
          <w:szCs w:val="21"/>
          <w:highlight w:val="none"/>
          <w:u w:val="none"/>
        </w:rPr>
      </w:pPr>
      <w:r>
        <w:rPr>
          <w:rFonts w:hint="eastAsia"/>
          <w:color w:val="auto"/>
          <w:kern w:val="0"/>
          <w:szCs w:val="21"/>
          <w:highlight w:val="none"/>
          <w:u w:val="none"/>
        </w:rPr>
        <w:t>（</w:t>
      </w:r>
      <w:r>
        <w:rPr>
          <w:color w:val="auto"/>
          <w:kern w:val="0"/>
          <w:szCs w:val="21"/>
          <w:highlight w:val="none"/>
          <w:u w:val="none"/>
        </w:rPr>
        <w:t>2）</w:t>
      </w:r>
      <w:r>
        <w:rPr>
          <w:rFonts w:hint="eastAsia"/>
          <w:color w:val="auto"/>
          <w:kern w:val="0"/>
          <w:szCs w:val="21"/>
          <w:highlight w:val="none"/>
          <w:u w:val="none"/>
        </w:rPr>
        <w:t>管理人应及时将本基金财产证券交易单元号、佣金费率等基本信息以及变更情况及时以书面形式通知托管人。</w:t>
      </w:r>
    </w:p>
    <w:p>
      <w:pPr>
        <w:pStyle w:val="81"/>
        <w:rPr>
          <w:rFonts w:ascii="楷体" w:hAnsi="楷体" w:eastAsia="楷体"/>
          <w:color w:val="auto"/>
          <w:kern w:val="0"/>
          <w:szCs w:val="21"/>
          <w:highlight w:val="none"/>
          <w:u w:val="none"/>
        </w:rPr>
      </w:pPr>
      <w:r>
        <w:rPr>
          <w:color w:val="auto"/>
          <w:kern w:val="0"/>
          <w:szCs w:val="21"/>
          <w:highlight w:val="none"/>
          <w:u w:val="none"/>
        </w:rPr>
        <w:t>2.</w:t>
      </w:r>
      <w:r>
        <w:rPr>
          <w:rFonts w:hint="eastAsia" w:cs="宋体"/>
          <w:color w:val="auto"/>
          <w:kern w:val="0"/>
          <w:szCs w:val="21"/>
          <w:highlight w:val="none"/>
          <w:u w:val="none"/>
        </w:rPr>
        <w:t>证券</w:t>
      </w:r>
      <w:r>
        <w:rPr>
          <w:rFonts w:hint="eastAsia"/>
          <w:color w:val="auto"/>
          <w:kern w:val="0"/>
          <w:szCs w:val="21"/>
          <w:highlight w:val="none"/>
          <w:u w:val="none"/>
        </w:rPr>
        <w:t>交易数据发送和接收</w:t>
      </w:r>
    </w:p>
    <w:p>
      <w:pPr>
        <w:pStyle w:val="81"/>
        <w:rPr>
          <w:rFonts w:ascii="楷体" w:hAnsi="楷体" w:eastAsia="楷体"/>
          <w:color w:val="auto"/>
          <w:kern w:val="0"/>
          <w:szCs w:val="21"/>
          <w:highlight w:val="none"/>
          <w:u w:val="none"/>
        </w:rPr>
      </w:pPr>
      <w:r>
        <w:rPr>
          <w:rFonts w:hint="eastAsia"/>
          <w:color w:val="auto"/>
          <w:kern w:val="0"/>
          <w:szCs w:val="21"/>
          <w:highlight w:val="none"/>
          <w:u w:val="none"/>
        </w:rPr>
        <w:t>本基金的</w:t>
      </w:r>
      <w:r>
        <w:rPr>
          <w:rFonts w:hint="eastAsia" w:cs="宋体"/>
          <w:color w:val="auto"/>
          <w:kern w:val="0"/>
          <w:szCs w:val="21"/>
          <w:highlight w:val="none"/>
          <w:u w:val="none"/>
        </w:rPr>
        <w:t>证券</w:t>
      </w:r>
      <w:r>
        <w:rPr>
          <w:rFonts w:hint="eastAsia"/>
          <w:color w:val="auto"/>
          <w:kern w:val="0"/>
          <w:szCs w:val="21"/>
          <w:highlight w:val="none"/>
          <w:u w:val="none"/>
        </w:rPr>
        <w:t>交易数据传输具体操作</w:t>
      </w:r>
      <w:r>
        <w:rPr>
          <w:rFonts w:hint="eastAsia" w:cs="宋体"/>
          <w:color w:val="auto"/>
          <w:kern w:val="0"/>
          <w:szCs w:val="21"/>
          <w:highlight w:val="none"/>
          <w:u w:val="none"/>
        </w:rPr>
        <w:t>及</w:t>
      </w:r>
      <w:r>
        <w:rPr>
          <w:rFonts w:cs="宋体"/>
          <w:color w:val="auto"/>
          <w:kern w:val="0"/>
          <w:szCs w:val="21"/>
          <w:highlight w:val="none"/>
          <w:u w:val="none"/>
        </w:rPr>
        <w:t>时</w:t>
      </w:r>
      <w:r>
        <w:rPr>
          <w:rFonts w:hint="eastAsia" w:cs="宋体"/>
          <w:color w:val="auto"/>
          <w:kern w:val="0"/>
          <w:szCs w:val="21"/>
          <w:highlight w:val="none"/>
          <w:u w:val="none"/>
        </w:rPr>
        <w:t>间</w:t>
      </w:r>
      <w:r>
        <w:rPr>
          <w:rFonts w:cs="宋体"/>
          <w:color w:val="auto"/>
          <w:kern w:val="0"/>
          <w:szCs w:val="21"/>
          <w:highlight w:val="none"/>
          <w:u w:val="none"/>
        </w:rPr>
        <w:t>要求</w:t>
      </w:r>
      <w:r>
        <w:rPr>
          <w:rFonts w:hint="eastAsia"/>
          <w:color w:val="auto"/>
          <w:kern w:val="0"/>
          <w:szCs w:val="21"/>
          <w:highlight w:val="none"/>
          <w:u w:val="none"/>
        </w:rPr>
        <w:t>按照管理人、托管人及证券经纪商签订的</w:t>
      </w:r>
      <w:r>
        <w:rPr>
          <w:rFonts w:hint="eastAsia" w:cs="宋体"/>
          <w:color w:val="auto"/>
          <w:kern w:val="0"/>
          <w:szCs w:val="21"/>
          <w:highlight w:val="none"/>
          <w:u w:val="none"/>
        </w:rPr>
        <w:t>《证券投资托管操作备忘录》</w:t>
      </w:r>
      <w:r>
        <w:rPr>
          <w:rFonts w:hint="eastAsia"/>
          <w:color w:val="auto"/>
          <w:kern w:val="0"/>
          <w:szCs w:val="21"/>
          <w:highlight w:val="none"/>
          <w:u w:val="none"/>
        </w:rPr>
        <w:t>的约定执行。</w:t>
      </w:r>
    </w:p>
    <w:p>
      <w:pPr>
        <w:pStyle w:val="81"/>
        <w:rPr>
          <w:rFonts w:ascii="楷体" w:hAnsi="楷体" w:eastAsia="楷体"/>
          <w:color w:val="auto"/>
          <w:kern w:val="0"/>
          <w:szCs w:val="21"/>
          <w:highlight w:val="none"/>
          <w:u w:val="none"/>
        </w:rPr>
      </w:pPr>
      <w:r>
        <w:rPr>
          <w:color w:val="auto"/>
          <w:kern w:val="0"/>
          <w:szCs w:val="21"/>
          <w:highlight w:val="none"/>
          <w:u w:val="none"/>
        </w:rPr>
        <w:t>3.</w:t>
      </w:r>
      <w:r>
        <w:rPr>
          <w:rFonts w:hint="eastAsia"/>
          <w:color w:val="auto"/>
          <w:kern w:val="0"/>
          <w:szCs w:val="21"/>
          <w:highlight w:val="none"/>
          <w:u w:val="none"/>
        </w:rPr>
        <w:t>证券交易的资金清算与交割</w:t>
      </w:r>
    </w:p>
    <w:p>
      <w:pPr>
        <w:pStyle w:val="81"/>
        <w:rPr>
          <w:rFonts w:ascii="楷体" w:hAnsi="楷体" w:eastAsia="楷体"/>
          <w:color w:val="auto"/>
          <w:kern w:val="0"/>
          <w:szCs w:val="21"/>
          <w:highlight w:val="none"/>
          <w:u w:val="none"/>
        </w:rPr>
      </w:pPr>
      <w:r>
        <w:rPr>
          <w:rFonts w:hint="eastAsia"/>
          <w:color w:val="auto"/>
          <w:kern w:val="0"/>
          <w:szCs w:val="21"/>
          <w:highlight w:val="none"/>
          <w:u w:val="none"/>
        </w:rPr>
        <w:t>（</w:t>
      </w:r>
      <w:r>
        <w:rPr>
          <w:color w:val="auto"/>
          <w:kern w:val="0"/>
          <w:szCs w:val="21"/>
          <w:highlight w:val="none"/>
          <w:u w:val="none"/>
        </w:rPr>
        <w:t>1）</w:t>
      </w:r>
      <w:r>
        <w:rPr>
          <w:rFonts w:hint="eastAsia"/>
          <w:color w:val="auto"/>
          <w:kern w:val="0"/>
          <w:szCs w:val="21"/>
          <w:highlight w:val="none"/>
          <w:u w:val="none"/>
        </w:rPr>
        <w:t>证券交易资金的清算</w:t>
      </w:r>
    </w:p>
    <w:p>
      <w:pPr>
        <w:pStyle w:val="81"/>
        <w:rPr>
          <w:rFonts w:ascii="楷体" w:hAnsi="楷体" w:eastAsia="楷体"/>
          <w:color w:val="auto"/>
          <w:kern w:val="0"/>
          <w:szCs w:val="21"/>
          <w:highlight w:val="none"/>
          <w:u w:val="none"/>
        </w:rPr>
      </w:pPr>
      <w:r>
        <w:rPr>
          <w:rFonts w:hint="eastAsia"/>
          <w:color w:val="auto"/>
          <w:kern w:val="0"/>
          <w:szCs w:val="21"/>
          <w:highlight w:val="none"/>
          <w:u w:val="none"/>
        </w:rPr>
        <w:t>（</w:t>
      </w:r>
      <w:r>
        <w:rPr>
          <w:color w:val="auto"/>
          <w:kern w:val="0"/>
          <w:szCs w:val="21"/>
          <w:highlight w:val="none"/>
          <w:u w:val="none"/>
        </w:rPr>
        <w:t>2）</w:t>
      </w:r>
      <w:r>
        <w:rPr>
          <w:rFonts w:hint="eastAsia"/>
          <w:color w:val="auto"/>
          <w:kern w:val="0"/>
          <w:szCs w:val="21"/>
          <w:highlight w:val="none"/>
          <w:u w:val="none"/>
        </w:rPr>
        <w:t>管理人的投资指令执行后，因本基金投资于证券发生的所有</w:t>
      </w:r>
      <w:r>
        <w:rPr>
          <w:rFonts w:hint="eastAsia" w:cs="宋体"/>
          <w:color w:val="auto"/>
          <w:kern w:val="0"/>
          <w:szCs w:val="21"/>
          <w:highlight w:val="none"/>
          <w:u w:val="none"/>
        </w:rPr>
        <w:t>二级市场交易</w:t>
      </w:r>
      <w:r>
        <w:rPr>
          <w:rFonts w:hint="eastAsia"/>
          <w:color w:val="auto"/>
          <w:kern w:val="0"/>
          <w:szCs w:val="21"/>
          <w:highlight w:val="none"/>
          <w:u w:val="none"/>
        </w:rPr>
        <w:t>的清算交割，由管理人选择的</w:t>
      </w:r>
      <w:r>
        <w:rPr>
          <w:rFonts w:hint="eastAsia" w:cs="宋体"/>
          <w:color w:val="auto"/>
          <w:kern w:val="0"/>
          <w:szCs w:val="21"/>
          <w:highlight w:val="none"/>
          <w:u w:val="none"/>
        </w:rPr>
        <w:t>证券经纪商</w:t>
      </w:r>
      <w:r>
        <w:rPr>
          <w:rFonts w:hint="eastAsia"/>
          <w:color w:val="auto"/>
          <w:kern w:val="0"/>
          <w:szCs w:val="21"/>
          <w:highlight w:val="none"/>
          <w:u w:val="none"/>
        </w:rPr>
        <w:t>负责办理。</w:t>
      </w:r>
    </w:p>
    <w:p>
      <w:pPr>
        <w:pStyle w:val="81"/>
        <w:rPr>
          <w:rFonts w:ascii="楷体" w:hAnsi="楷体" w:eastAsia="楷体"/>
          <w:color w:val="auto"/>
          <w:kern w:val="0"/>
          <w:szCs w:val="21"/>
          <w:highlight w:val="none"/>
          <w:u w:val="none"/>
        </w:rPr>
      </w:pPr>
      <w:r>
        <w:rPr>
          <w:rFonts w:hint="eastAsia"/>
          <w:color w:val="auto"/>
          <w:kern w:val="0"/>
          <w:szCs w:val="21"/>
          <w:highlight w:val="none"/>
          <w:u w:val="none"/>
        </w:rPr>
        <w:t>（</w:t>
      </w:r>
      <w:r>
        <w:rPr>
          <w:color w:val="auto"/>
          <w:kern w:val="0"/>
          <w:szCs w:val="21"/>
          <w:highlight w:val="none"/>
          <w:u w:val="none"/>
        </w:rPr>
        <w:t>3）</w:t>
      </w:r>
      <w:r>
        <w:rPr>
          <w:rFonts w:hint="eastAsia"/>
          <w:color w:val="auto"/>
          <w:kern w:val="0"/>
          <w:szCs w:val="21"/>
          <w:highlight w:val="none"/>
          <w:u w:val="none"/>
        </w:rPr>
        <w:t>结算方式</w:t>
      </w:r>
    </w:p>
    <w:p>
      <w:pPr>
        <w:pStyle w:val="81"/>
        <w:rPr>
          <w:rFonts w:ascii="楷体" w:hAnsi="楷体" w:eastAsia="楷体"/>
          <w:color w:val="auto"/>
          <w:kern w:val="0"/>
          <w:szCs w:val="21"/>
          <w:highlight w:val="none"/>
          <w:u w:val="none"/>
        </w:rPr>
      </w:pPr>
      <w:r>
        <w:rPr>
          <w:rFonts w:hint="eastAsia"/>
          <w:color w:val="auto"/>
          <w:kern w:val="0"/>
          <w:szCs w:val="21"/>
          <w:highlight w:val="none"/>
          <w:u w:val="none"/>
        </w:rPr>
        <w:t>（</w:t>
      </w:r>
      <w:r>
        <w:rPr>
          <w:color w:val="auto"/>
          <w:kern w:val="0"/>
          <w:szCs w:val="21"/>
          <w:highlight w:val="none"/>
          <w:u w:val="none"/>
        </w:rPr>
        <w:t>4）</w:t>
      </w:r>
      <w:r>
        <w:rPr>
          <w:rFonts w:hint="eastAsia"/>
          <w:color w:val="auto"/>
          <w:kern w:val="0"/>
          <w:szCs w:val="21"/>
          <w:highlight w:val="none"/>
          <w:u w:val="none"/>
        </w:rPr>
        <w:t>支付结算按中国人民银行、中国银监会、中国证券登记结算有限公司的有关规定办理。</w:t>
      </w:r>
    </w:p>
    <w:p>
      <w:pPr>
        <w:pStyle w:val="81"/>
        <w:rPr>
          <w:rFonts w:cs="宋体"/>
          <w:color w:val="auto"/>
          <w:kern w:val="0"/>
          <w:szCs w:val="21"/>
          <w:highlight w:val="none"/>
          <w:u w:val="none"/>
        </w:rPr>
      </w:pPr>
      <w:r>
        <w:rPr>
          <w:rFonts w:cs="宋体"/>
          <w:color w:val="auto"/>
          <w:kern w:val="0"/>
          <w:szCs w:val="21"/>
          <w:highlight w:val="none"/>
          <w:u w:val="none"/>
        </w:rPr>
        <w:t>4.</w:t>
      </w:r>
      <w:r>
        <w:rPr>
          <w:rFonts w:hint="eastAsia" w:cs="宋体"/>
          <w:color w:val="auto"/>
          <w:kern w:val="0"/>
          <w:szCs w:val="21"/>
          <w:highlight w:val="none"/>
          <w:u w:val="none"/>
        </w:rPr>
        <w:t>清算交割处理</w:t>
      </w:r>
    </w:p>
    <w:p>
      <w:pPr>
        <w:pStyle w:val="81"/>
        <w:rPr>
          <w:rFonts w:cs="宋体"/>
          <w:color w:val="auto"/>
          <w:kern w:val="0"/>
          <w:szCs w:val="21"/>
          <w:highlight w:val="none"/>
          <w:u w:val="none"/>
        </w:rPr>
      </w:pPr>
      <w:r>
        <w:rPr>
          <w:rFonts w:hint="eastAsia"/>
          <w:color w:val="auto"/>
          <w:kern w:val="0"/>
          <w:szCs w:val="21"/>
          <w:highlight w:val="none"/>
          <w:u w:val="none"/>
        </w:rPr>
        <w:t>资金划转的方式在符合银行资金结算的有关规定的前提下可由托管人和管理人共同商定。</w:t>
      </w:r>
    </w:p>
    <w:p>
      <w:pPr>
        <w:pStyle w:val="81"/>
        <w:rPr>
          <w:rFonts w:cs="宋体"/>
          <w:color w:val="auto"/>
          <w:kern w:val="0"/>
          <w:szCs w:val="21"/>
          <w:highlight w:val="none"/>
          <w:u w:val="none"/>
        </w:rPr>
      </w:pPr>
      <w:r>
        <w:rPr>
          <w:rFonts w:hint="eastAsia" w:cs="宋体"/>
          <w:color w:val="auto"/>
          <w:kern w:val="0"/>
          <w:szCs w:val="21"/>
          <w:highlight w:val="none"/>
          <w:u w:val="none"/>
        </w:rPr>
        <w:t>（二）选择场内期权经纪机构及场内</w:t>
      </w:r>
      <w:r>
        <w:rPr>
          <w:rFonts w:cs="宋体"/>
          <w:color w:val="auto"/>
          <w:kern w:val="0"/>
          <w:szCs w:val="21"/>
          <w:highlight w:val="none"/>
          <w:u w:val="none"/>
        </w:rPr>
        <w:t>期权</w:t>
      </w:r>
      <w:r>
        <w:rPr>
          <w:rFonts w:hint="eastAsia" w:cs="宋体"/>
          <w:color w:val="auto"/>
          <w:kern w:val="0"/>
          <w:szCs w:val="21"/>
          <w:highlight w:val="none"/>
          <w:u w:val="none"/>
        </w:rPr>
        <w:t>投资资金清算安排</w:t>
      </w:r>
    </w:p>
    <w:p>
      <w:pPr>
        <w:pStyle w:val="81"/>
        <w:rPr>
          <w:rFonts w:ascii="楷体" w:hAnsi="楷体" w:eastAsia="楷体" w:cs="宋体"/>
          <w:color w:val="auto"/>
          <w:kern w:val="0"/>
          <w:szCs w:val="21"/>
          <w:highlight w:val="none"/>
          <w:u w:val="none"/>
        </w:rPr>
      </w:pPr>
      <w:r>
        <w:rPr>
          <w:rFonts w:hint="eastAsia" w:cs="宋体"/>
          <w:color w:val="auto"/>
          <w:kern w:val="0"/>
          <w:szCs w:val="21"/>
          <w:highlight w:val="none"/>
          <w:u w:val="none"/>
        </w:rPr>
        <w:t>一般</w:t>
      </w:r>
      <w:r>
        <w:rPr>
          <w:rFonts w:cs="宋体"/>
          <w:color w:val="auto"/>
          <w:kern w:val="0"/>
          <w:szCs w:val="21"/>
          <w:highlight w:val="none"/>
          <w:u w:val="none"/>
        </w:rPr>
        <w:t>情况下，管理人应选择其</w:t>
      </w:r>
      <w:r>
        <w:rPr>
          <w:rFonts w:hint="eastAsia" w:cs="宋体"/>
          <w:color w:val="auto"/>
          <w:kern w:val="0"/>
          <w:szCs w:val="21"/>
          <w:highlight w:val="none"/>
          <w:u w:val="none"/>
        </w:rPr>
        <w:t>聘请</w:t>
      </w:r>
      <w:r>
        <w:rPr>
          <w:rFonts w:cs="宋体"/>
          <w:color w:val="auto"/>
          <w:kern w:val="0"/>
          <w:szCs w:val="21"/>
          <w:highlight w:val="none"/>
          <w:u w:val="none"/>
        </w:rPr>
        <w:t>的证券经纪机构作为其</w:t>
      </w:r>
      <w:r>
        <w:rPr>
          <w:rFonts w:hint="eastAsia" w:cs="宋体"/>
          <w:color w:val="auto"/>
          <w:kern w:val="0"/>
          <w:szCs w:val="21"/>
          <w:highlight w:val="none"/>
          <w:u w:val="none"/>
        </w:rPr>
        <w:t>场内</w:t>
      </w:r>
      <w:r>
        <w:rPr>
          <w:rFonts w:cs="宋体"/>
          <w:color w:val="auto"/>
          <w:kern w:val="0"/>
          <w:szCs w:val="21"/>
          <w:highlight w:val="none"/>
          <w:u w:val="none"/>
        </w:rPr>
        <w:t>期权经纪商</w:t>
      </w:r>
      <w:r>
        <w:rPr>
          <w:rFonts w:hint="eastAsia" w:cs="宋体"/>
          <w:color w:val="auto"/>
          <w:kern w:val="0"/>
          <w:szCs w:val="21"/>
          <w:highlight w:val="none"/>
          <w:u w:val="none"/>
        </w:rPr>
        <w:t>；</w:t>
      </w:r>
      <w:r>
        <w:rPr>
          <w:rFonts w:cs="宋体"/>
          <w:color w:val="auto"/>
          <w:kern w:val="0"/>
          <w:szCs w:val="21"/>
          <w:highlight w:val="none"/>
          <w:u w:val="none"/>
        </w:rPr>
        <w:t>在此情形下，</w:t>
      </w:r>
      <w:r>
        <w:rPr>
          <w:rFonts w:hint="eastAsia" w:cs="宋体"/>
          <w:color w:val="auto"/>
          <w:kern w:val="0"/>
          <w:szCs w:val="21"/>
          <w:highlight w:val="none"/>
          <w:u w:val="none"/>
        </w:rPr>
        <w:t>场内</w:t>
      </w:r>
      <w:r>
        <w:rPr>
          <w:rFonts w:cs="宋体"/>
          <w:color w:val="auto"/>
          <w:kern w:val="0"/>
          <w:szCs w:val="21"/>
          <w:highlight w:val="none"/>
          <w:u w:val="none"/>
        </w:rPr>
        <w:t>期权交易</w:t>
      </w:r>
      <w:r>
        <w:rPr>
          <w:rFonts w:hint="eastAsia" w:cs="宋体"/>
          <w:color w:val="auto"/>
          <w:kern w:val="0"/>
          <w:szCs w:val="21"/>
          <w:highlight w:val="none"/>
          <w:u w:val="none"/>
        </w:rPr>
        <w:t>数据发送和接收、资金清算与交割按照</w:t>
      </w:r>
      <w:r>
        <w:rPr>
          <w:rFonts w:cs="宋体"/>
          <w:color w:val="auto"/>
          <w:kern w:val="0"/>
          <w:szCs w:val="21"/>
          <w:highlight w:val="none"/>
          <w:u w:val="none"/>
        </w:rPr>
        <w:t>本章节第</w:t>
      </w:r>
      <w:r>
        <w:rPr>
          <w:rFonts w:hint="eastAsia" w:cs="宋体"/>
          <w:color w:val="auto"/>
          <w:kern w:val="0"/>
          <w:szCs w:val="21"/>
          <w:highlight w:val="none"/>
          <w:u w:val="none"/>
        </w:rPr>
        <w:t>（一）项</w:t>
      </w:r>
      <w:r>
        <w:rPr>
          <w:rFonts w:cs="宋体"/>
          <w:color w:val="auto"/>
          <w:kern w:val="0"/>
          <w:szCs w:val="21"/>
          <w:highlight w:val="none"/>
          <w:u w:val="none"/>
        </w:rPr>
        <w:t>相关</w:t>
      </w:r>
      <w:r>
        <w:rPr>
          <w:rFonts w:hint="eastAsia" w:cs="宋体"/>
          <w:color w:val="auto"/>
          <w:kern w:val="0"/>
          <w:szCs w:val="21"/>
          <w:highlight w:val="none"/>
          <w:u w:val="none"/>
        </w:rPr>
        <w:t>约定</w:t>
      </w:r>
      <w:r>
        <w:rPr>
          <w:rFonts w:cs="宋体"/>
          <w:color w:val="auto"/>
          <w:kern w:val="0"/>
          <w:szCs w:val="21"/>
          <w:highlight w:val="none"/>
          <w:u w:val="none"/>
        </w:rPr>
        <w:t>进行处理。</w:t>
      </w:r>
    </w:p>
    <w:p>
      <w:pPr>
        <w:pStyle w:val="81"/>
        <w:rPr>
          <w:rFonts w:ascii="楷体" w:hAnsi="楷体" w:eastAsia="楷体" w:cs="宋体"/>
          <w:color w:val="auto"/>
          <w:kern w:val="0"/>
          <w:szCs w:val="21"/>
          <w:highlight w:val="none"/>
          <w:u w:val="none"/>
        </w:rPr>
      </w:pPr>
      <w:r>
        <w:rPr>
          <w:rFonts w:hint="eastAsia" w:cs="宋体"/>
          <w:color w:val="auto"/>
          <w:kern w:val="0"/>
          <w:szCs w:val="21"/>
          <w:highlight w:val="none"/>
          <w:u w:val="none"/>
        </w:rPr>
        <w:t>若管理人</w:t>
      </w:r>
      <w:r>
        <w:rPr>
          <w:rFonts w:cs="宋体"/>
          <w:color w:val="auto"/>
          <w:kern w:val="0"/>
          <w:szCs w:val="21"/>
          <w:highlight w:val="none"/>
          <w:u w:val="none"/>
        </w:rPr>
        <w:t>聘请其证券经纪机构以外的机构作为其场内期权经纪商的，</w:t>
      </w:r>
      <w:r>
        <w:rPr>
          <w:rFonts w:hint="eastAsia" w:cs="宋体"/>
          <w:color w:val="auto"/>
          <w:kern w:val="0"/>
          <w:szCs w:val="21"/>
          <w:highlight w:val="none"/>
          <w:u w:val="none"/>
        </w:rPr>
        <w:t>应就场内</w:t>
      </w:r>
      <w:r>
        <w:rPr>
          <w:rFonts w:cs="宋体"/>
          <w:color w:val="auto"/>
          <w:kern w:val="0"/>
          <w:szCs w:val="21"/>
          <w:highlight w:val="none"/>
          <w:u w:val="none"/>
        </w:rPr>
        <w:t>期权交易</w:t>
      </w:r>
      <w:r>
        <w:rPr>
          <w:rFonts w:hint="eastAsia" w:cs="宋体"/>
          <w:color w:val="auto"/>
          <w:kern w:val="0"/>
          <w:szCs w:val="21"/>
          <w:highlight w:val="none"/>
          <w:u w:val="none"/>
        </w:rPr>
        <w:t>数据发送和接收、资金清算与交割事宜</w:t>
      </w:r>
      <w:r>
        <w:rPr>
          <w:rFonts w:cs="宋体"/>
          <w:color w:val="auto"/>
          <w:kern w:val="0"/>
          <w:szCs w:val="21"/>
          <w:highlight w:val="none"/>
          <w:u w:val="none"/>
        </w:rPr>
        <w:t>与场内期权经纪商、托管人另行签署书面协议。</w:t>
      </w:r>
    </w:p>
    <w:p>
      <w:pPr>
        <w:pStyle w:val="81"/>
        <w:rPr>
          <w:rFonts w:ascii="楷体" w:hAnsi="楷体" w:eastAsia="楷体"/>
          <w:color w:val="auto"/>
          <w:kern w:val="0"/>
          <w:szCs w:val="21"/>
          <w:highlight w:val="none"/>
          <w:u w:val="none"/>
        </w:rPr>
      </w:pPr>
      <w:r>
        <w:rPr>
          <w:rFonts w:hint="eastAsia"/>
          <w:color w:val="auto"/>
          <w:kern w:val="0"/>
          <w:szCs w:val="21"/>
          <w:highlight w:val="none"/>
          <w:u w:val="none"/>
        </w:rPr>
        <w:t>（三）选择期货经纪机构及期货投资资金清算安排</w:t>
      </w:r>
    </w:p>
    <w:p>
      <w:pPr>
        <w:pStyle w:val="81"/>
        <w:rPr>
          <w:rFonts w:ascii="楷体" w:hAnsi="楷体" w:eastAsia="楷体" w:cs="宋体"/>
          <w:color w:val="auto"/>
          <w:kern w:val="0"/>
          <w:szCs w:val="21"/>
          <w:highlight w:val="none"/>
          <w:u w:val="none"/>
        </w:rPr>
      </w:pPr>
      <w:r>
        <w:rPr>
          <w:rFonts w:hint="eastAsia"/>
          <w:color w:val="auto"/>
          <w:kern w:val="0"/>
          <w:szCs w:val="21"/>
          <w:highlight w:val="none"/>
          <w:u w:val="none"/>
        </w:rPr>
        <w:t>本基金投资于期货前，基金管理人负责选择为本基金提供期货交易服务的期货经纪公司，并与其签订期货经纪合同。基金管理人、基金托管人和期货公司可就基金参与期货交易的具体事项另行签订协议。本基金的交易数据传输具体操作及</w:t>
      </w:r>
      <w:r>
        <w:rPr>
          <w:rFonts w:cs="宋体"/>
          <w:color w:val="auto"/>
          <w:kern w:val="0"/>
          <w:szCs w:val="21"/>
          <w:highlight w:val="none"/>
          <w:u w:val="none"/>
        </w:rPr>
        <w:t>时</w:t>
      </w:r>
      <w:r>
        <w:rPr>
          <w:rFonts w:hint="eastAsia" w:cs="宋体"/>
          <w:color w:val="auto"/>
          <w:kern w:val="0"/>
          <w:szCs w:val="21"/>
          <w:highlight w:val="none"/>
          <w:u w:val="none"/>
        </w:rPr>
        <w:t>间</w:t>
      </w:r>
      <w:r>
        <w:rPr>
          <w:rFonts w:cs="宋体"/>
          <w:color w:val="auto"/>
          <w:kern w:val="0"/>
          <w:szCs w:val="21"/>
          <w:highlight w:val="none"/>
          <w:u w:val="none"/>
        </w:rPr>
        <w:t>要求</w:t>
      </w:r>
      <w:r>
        <w:rPr>
          <w:rFonts w:hint="eastAsia" w:cs="宋体"/>
          <w:color w:val="auto"/>
          <w:kern w:val="0"/>
          <w:szCs w:val="21"/>
          <w:highlight w:val="none"/>
          <w:u w:val="none"/>
        </w:rPr>
        <w:t>按照管理人、托管人及期货经纪商签订的《期货投资托管操作备忘录》的约定执行。</w:t>
      </w:r>
    </w:p>
    <w:p>
      <w:pPr>
        <w:pStyle w:val="81"/>
        <w:rPr>
          <w:rFonts w:ascii="楷体" w:hAnsi="楷体" w:eastAsia="楷体" w:cs="宋体"/>
          <w:color w:val="auto"/>
          <w:kern w:val="0"/>
          <w:szCs w:val="21"/>
          <w:highlight w:val="none"/>
          <w:u w:val="none"/>
        </w:rPr>
      </w:pPr>
      <w:r>
        <w:rPr>
          <w:rFonts w:hint="eastAsia" w:cs="宋体"/>
          <w:color w:val="auto"/>
          <w:kern w:val="0"/>
          <w:szCs w:val="21"/>
          <w:highlight w:val="none"/>
          <w:u w:val="none"/>
        </w:rPr>
        <w:t>本基金投资于期货发生的资金交割清算由基金管理人选定的期货经纪公司负责办理，基金托管人对由于期货交所期货保证金制度和清算交割的需要而存放在期货经纪公司的资金不行使保管职责，基金管理人应在期货经纪协议或其他协议中约定由选定的期货经纪公司承担资金安全保管责任。</w:t>
      </w:r>
    </w:p>
    <w:p>
      <w:pPr>
        <w:pStyle w:val="81"/>
        <w:rPr>
          <w:rFonts w:ascii="楷体" w:hAnsi="楷体" w:eastAsia="楷体" w:cs="宋体"/>
          <w:color w:val="auto"/>
          <w:kern w:val="0"/>
          <w:szCs w:val="21"/>
          <w:highlight w:val="none"/>
          <w:u w:val="none"/>
        </w:rPr>
      </w:pPr>
      <w:r>
        <w:rPr>
          <w:rFonts w:hint="eastAsia" w:cs="宋体"/>
          <w:color w:val="auto"/>
          <w:kern w:val="0"/>
          <w:szCs w:val="21"/>
          <w:highlight w:val="none"/>
          <w:u w:val="none"/>
        </w:rPr>
        <w:t>（四）关于银证、银期、银衍转账操作的特殊安排</w:t>
      </w:r>
    </w:p>
    <w:p>
      <w:pPr>
        <w:pStyle w:val="81"/>
        <w:rPr>
          <w:rFonts w:ascii="楷体" w:hAnsi="楷体" w:eastAsia="楷体" w:cs="宋体"/>
          <w:color w:val="auto"/>
          <w:kern w:val="0"/>
          <w:szCs w:val="21"/>
          <w:highlight w:val="none"/>
          <w:u w:val="none"/>
        </w:rPr>
      </w:pPr>
      <w:r>
        <w:rPr>
          <w:rFonts w:hint="eastAsia" w:cs="宋体"/>
          <w:color w:val="auto"/>
          <w:kern w:val="0"/>
          <w:szCs w:val="21"/>
          <w:highlight w:val="none"/>
          <w:u w:val="none"/>
        </w:rPr>
        <w:t>鉴于银证、银期、银衍转账是在托管账户与证券资金账户、期货资金账户或期权资金账户之间封闭划转，为提高资金划转的效率，管理人可根据实际投资需要，向</w:t>
      </w:r>
      <w:r>
        <w:rPr>
          <w:rFonts w:cs="宋体"/>
          <w:color w:val="auto"/>
          <w:kern w:val="0"/>
          <w:szCs w:val="21"/>
          <w:highlight w:val="none"/>
          <w:u w:val="none"/>
        </w:rPr>
        <w:t>托管人申请由其</w:t>
      </w:r>
      <w:r>
        <w:rPr>
          <w:rFonts w:hint="eastAsia" w:cs="宋体"/>
          <w:color w:val="auto"/>
          <w:kern w:val="0"/>
          <w:szCs w:val="21"/>
          <w:highlight w:val="none"/>
          <w:u w:val="none"/>
        </w:rPr>
        <w:t>自行通过交易客户端进行银证、银期、银衍转账操作，由管理人自行负责跟进资金转账过程和结果，托管人可</w:t>
      </w:r>
      <w:r>
        <w:rPr>
          <w:rFonts w:cs="宋体"/>
          <w:color w:val="auto"/>
          <w:kern w:val="0"/>
          <w:szCs w:val="21"/>
          <w:highlight w:val="none"/>
          <w:u w:val="none"/>
        </w:rPr>
        <w:t>根据实际情况</w:t>
      </w:r>
      <w:r>
        <w:rPr>
          <w:rFonts w:hint="eastAsia" w:cs="宋体"/>
          <w:color w:val="auto"/>
          <w:kern w:val="0"/>
          <w:szCs w:val="21"/>
          <w:highlight w:val="none"/>
          <w:u w:val="none"/>
        </w:rPr>
        <w:t>决定</w:t>
      </w:r>
      <w:r>
        <w:rPr>
          <w:rFonts w:cs="宋体"/>
          <w:color w:val="auto"/>
          <w:kern w:val="0"/>
          <w:szCs w:val="21"/>
          <w:highlight w:val="none"/>
          <w:u w:val="none"/>
        </w:rPr>
        <w:t>是否</w:t>
      </w:r>
      <w:r>
        <w:rPr>
          <w:rFonts w:hint="eastAsia" w:cs="宋体"/>
          <w:color w:val="auto"/>
          <w:kern w:val="0"/>
          <w:szCs w:val="21"/>
          <w:highlight w:val="none"/>
          <w:u w:val="none"/>
        </w:rPr>
        <w:t>授权。对于已</w:t>
      </w:r>
      <w:r>
        <w:rPr>
          <w:rFonts w:cs="宋体"/>
          <w:color w:val="auto"/>
          <w:kern w:val="0"/>
          <w:szCs w:val="21"/>
          <w:highlight w:val="none"/>
          <w:u w:val="none"/>
        </w:rPr>
        <w:t>授权管理人</w:t>
      </w:r>
      <w:r>
        <w:rPr>
          <w:rFonts w:hint="eastAsia" w:cs="宋体"/>
          <w:color w:val="auto"/>
          <w:kern w:val="0"/>
          <w:szCs w:val="21"/>
          <w:highlight w:val="none"/>
          <w:u w:val="none"/>
        </w:rPr>
        <w:t>自行</w:t>
      </w:r>
      <w:r>
        <w:rPr>
          <w:rFonts w:cs="宋体"/>
          <w:color w:val="auto"/>
          <w:kern w:val="0"/>
          <w:szCs w:val="21"/>
          <w:highlight w:val="none"/>
          <w:u w:val="none"/>
        </w:rPr>
        <w:t>操作的，</w:t>
      </w:r>
      <w:r>
        <w:rPr>
          <w:rFonts w:hint="eastAsia" w:cs="宋体"/>
          <w:color w:val="auto"/>
          <w:kern w:val="0"/>
          <w:szCs w:val="21"/>
          <w:highlight w:val="none"/>
          <w:u w:val="none"/>
        </w:rPr>
        <w:t>转账失败的由管理人负责查明原因和解决，托管人无需负责。由基金管理人自行进行</w:t>
      </w:r>
      <w:r>
        <w:rPr>
          <w:rFonts w:cs="宋体"/>
          <w:color w:val="auto"/>
          <w:kern w:val="0"/>
          <w:szCs w:val="21"/>
          <w:highlight w:val="none"/>
          <w:u w:val="none"/>
        </w:rPr>
        <w:t>的</w:t>
      </w:r>
      <w:r>
        <w:rPr>
          <w:rFonts w:hint="eastAsia" w:cs="宋体"/>
          <w:color w:val="auto"/>
          <w:kern w:val="0"/>
          <w:szCs w:val="21"/>
          <w:highlight w:val="none"/>
          <w:u w:val="none"/>
        </w:rPr>
        <w:t>进行银证、银期、银衍转账，管理人应于转账日日终向托管人提供转账流水。</w:t>
      </w:r>
    </w:p>
    <w:p>
      <w:pPr>
        <w:pStyle w:val="81"/>
        <w:rPr>
          <w:rFonts w:ascii="楷体" w:hAnsi="楷体" w:eastAsia="楷体" w:cs="宋体"/>
          <w:color w:val="auto"/>
          <w:kern w:val="0"/>
          <w:szCs w:val="21"/>
          <w:highlight w:val="none"/>
          <w:u w:val="none"/>
        </w:rPr>
      </w:pPr>
      <w:r>
        <w:rPr>
          <w:rFonts w:hint="eastAsia" w:cs="宋体"/>
          <w:color w:val="auto"/>
          <w:kern w:val="0"/>
          <w:szCs w:val="21"/>
          <w:highlight w:val="none"/>
          <w:u w:val="none"/>
        </w:rPr>
        <w:t>对于因</w:t>
      </w:r>
      <w:r>
        <w:rPr>
          <w:rFonts w:cs="宋体"/>
          <w:color w:val="auto"/>
          <w:kern w:val="0"/>
          <w:szCs w:val="21"/>
          <w:highlight w:val="none"/>
          <w:u w:val="none"/>
        </w:rPr>
        <w:t>银行系统等原因，无法授权管理人自行进行</w:t>
      </w:r>
      <w:r>
        <w:rPr>
          <w:rFonts w:hint="eastAsia" w:cs="宋体"/>
          <w:color w:val="auto"/>
          <w:kern w:val="0"/>
          <w:szCs w:val="21"/>
          <w:highlight w:val="none"/>
          <w:u w:val="none"/>
        </w:rPr>
        <w:t>银证、银期、银衍转账操作的</w:t>
      </w:r>
      <w:r>
        <w:rPr>
          <w:rFonts w:cs="宋体"/>
          <w:color w:val="auto"/>
          <w:kern w:val="0"/>
          <w:szCs w:val="21"/>
          <w:highlight w:val="none"/>
          <w:u w:val="none"/>
        </w:rPr>
        <w:t>，</w:t>
      </w:r>
      <w:r>
        <w:rPr>
          <w:rFonts w:hint="eastAsia" w:cs="宋体"/>
          <w:color w:val="auto"/>
          <w:kern w:val="0"/>
          <w:szCs w:val="21"/>
          <w:highlight w:val="none"/>
          <w:u w:val="none"/>
        </w:rPr>
        <w:t>管理人根据本</w:t>
      </w:r>
      <w:r>
        <w:rPr>
          <w:rFonts w:cs="宋体"/>
          <w:color w:val="auto"/>
          <w:kern w:val="0"/>
          <w:szCs w:val="21"/>
          <w:highlight w:val="none"/>
          <w:u w:val="none"/>
        </w:rPr>
        <w:t>合同</w:t>
      </w:r>
      <w:r>
        <w:rPr>
          <w:rFonts w:hint="eastAsia" w:cs="宋体"/>
          <w:color w:val="auto"/>
          <w:kern w:val="0"/>
          <w:szCs w:val="21"/>
          <w:highlight w:val="none"/>
          <w:u w:val="none"/>
        </w:rPr>
        <w:t>的</w:t>
      </w:r>
      <w:r>
        <w:rPr>
          <w:rFonts w:cs="宋体"/>
          <w:color w:val="auto"/>
          <w:kern w:val="0"/>
          <w:szCs w:val="21"/>
          <w:highlight w:val="none"/>
          <w:u w:val="none"/>
        </w:rPr>
        <w:t>约定</w:t>
      </w:r>
      <w:r>
        <w:rPr>
          <w:rFonts w:hint="eastAsia" w:cs="宋体"/>
          <w:color w:val="auto"/>
          <w:kern w:val="0"/>
          <w:szCs w:val="21"/>
          <w:highlight w:val="none"/>
          <w:u w:val="none"/>
        </w:rPr>
        <w:t>出具银证、银期、银衍转账指令，托管人审核通过后，将相应资金从基金托管账户划到证券</w:t>
      </w:r>
      <w:r>
        <w:rPr>
          <w:rFonts w:cs="宋体"/>
          <w:color w:val="auto"/>
          <w:kern w:val="0"/>
          <w:szCs w:val="21"/>
          <w:highlight w:val="none"/>
          <w:u w:val="none"/>
        </w:rPr>
        <w:t>/</w:t>
      </w:r>
      <w:r>
        <w:rPr>
          <w:rFonts w:hint="eastAsia" w:cs="宋体"/>
          <w:color w:val="auto"/>
          <w:kern w:val="0"/>
          <w:szCs w:val="21"/>
          <w:highlight w:val="none"/>
          <w:u w:val="none"/>
        </w:rPr>
        <w:t>期货</w:t>
      </w:r>
      <w:r>
        <w:rPr>
          <w:rFonts w:cs="宋体"/>
          <w:color w:val="auto"/>
          <w:kern w:val="0"/>
          <w:szCs w:val="21"/>
          <w:highlight w:val="none"/>
          <w:u w:val="none"/>
        </w:rPr>
        <w:t>/</w:t>
      </w:r>
      <w:r>
        <w:rPr>
          <w:rFonts w:hint="eastAsia" w:cs="宋体"/>
          <w:color w:val="auto"/>
          <w:kern w:val="0"/>
          <w:szCs w:val="21"/>
          <w:highlight w:val="none"/>
          <w:u w:val="none"/>
        </w:rPr>
        <w:t>期权资金账户。</w:t>
      </w:r>
    </w:p>
    <w:p>
      <w:pPr>
        <w:pStyle w:val="81"/>
        <w:rPr>
          <w:rFonts w:ascii="楷体" w:hAnsi="楷体" w:eastAsia="楷体" w:cs="宋体"/>
          <w:color w:val="auto"/>
          <w:kern w:val="0"/>
          <w:szCs w:val="21"/>
          <w:highlight w:val="none"/>
          <w:u w:val="none"/>
        </w:rPr>
      </w:pPr>
      <w:r>
        <w:rPr>
          <w:rFonts w:hint="eastAsia" w:cs="宋体"/>
          <w:color w:val="auto"/>
          <w:kern w:val="0"/>
          <w:szCs w:val="21"/>
          <w:highlight w:val="none"/>
          <w:u w:val="none"/>
        </w:rPr>
        <w:t>未经</w:t>
      </w:r>
      <w:r>
        <w:rPr>
          <w:rFonts w:cs="宋体"/>
          <w:color w:val="auto"/>
          <w:kern w:val="0"/>
          <w:szCs w:val="21"/>
          <w:highlight w:val="none"/>
          <w:u w:val="none"/>
        </w:rPr>
        <w:t>托管人</w:t>
      </w:r>
      <w:r>
        <w:rPr>
          <w:rFonts w:hint="eastAsia" w:cs="宋体"/>
          <w:color w:val="auto"/>
          <w:kern w:val="0"/>
          <w:szCs w:val="21"/>
          <w:highlight w:val="none"/>
          <w:u w:val="none"/>
        </w:rPr>
        <w:t>同意</w:t>
      </w:r>
      <w:r>
        <w:rPr>
          <w:rFonts w:cs="宋体"/>
          <w:color w:val="auto"/>
          <w:kern w:val="0"/>
          <w:szCs w:val="21"/>
          <w:highlight w:val="none"/>
          <w:u w:val="none"/>
        </w:rPr>
        <w:t>，</w:t>
      </w:r>
      <w:r>
        <w:rPr>
          <w:rFonts w:hint="eastAsia" w:cs="宋体"/>
          <w:color w:val="auto"/>
          <w:kern w:val="0"/>
          <w:szCs w:val="21"/>
          <w:highlight w:val="none"/>
          <w:u w:val="none"/>
        </w:rPr>
        <w:t>管理人不应</w:t>
      </w:r>
      <w:r>
        <w:rPr>
          <w:rFonts w:cs="宋体"/>
          <w:color w:val="auto"/>
          <w:kern w:val="0"/>
          <w:szCs w:val="21"/>
          <w:highlight w:val="none"/>
          <w:u w:val="none"/>
        </w:rPr>
        <w:t>对</w:t>
      </w:r>
      <w:r>
        <w:rPr>
          <w:rFonts w:hint="eastAsia" w:cs="宋体"/>
          <w:color w:val="auto"/>
          <w:kern w:val="0"/>
          <w:szCs w:val="21"/>
          <w:highlight w:val="none"/>
          <w:u w:val="none"/>
        </w:rPr>
        <w:t>银证、银期、银衍转账密码</w:t>
      </w:r>
      <w:r>
        <w:rPr>
          <w:rFonts w:cs="宋体"/>
          <w:color w:val="auto"/>
          <w:kern w:val="0"/>
          <w:szCs w:val="21"/>
          <w:highlight w:val="none"/>
          <w:u w:val="none"/>
        </w:rPr>
        <w:t>进行修改</w:t>
      </w:r>
      <w:r>
        <w:rPr>
          <w:rFonts w:hint="eastAsia" w:cs="宋体"/>
          <w:color w:val="auto"/>
          <w:kern w:val="0"/>
          <w:szCs w:val="21"/>
          <w:highlight w:val="none"/>
          <w:u w:val="none"/>
        </w:rPr>
        <w:t>；</w:t>
      </w:r>
      <w:r>
        <w:rPr>
          <w:rFonts w:cs="宋体"/>
          <w:color w:val="auto"/>
          <w:kern w:val="0"/>
          <w:szCs w:val="21"/>
          <w:highlight w:val="none"/>
          <w:u w:val="none"/>
        </w:rPr>
        <w:t>经托管人</w:t>
      </w:r>
      <w:r>
        <w:rPr>
          <w:rFonts w:hint="eastAsia" w:cs="宋体"/>
          <w:color w:val="auto"/>
          <w:kern w:val="0"/>
          <w:szCs w:val="21"/>
          <w:highlight w:val="none"/>
          <w:u w:val="none"/>
        </w:rPr>
        <w:t>同意</w:t>
      </w:r>
      <w:r>
        <w:rPr>
          <w:rFonts w:cs="宋体"/>
          <w:color w:val="auto"/>
          <w:kern w:val="0"/>
          <w:szCs w:val="21"/>
          <w:highlight w:val="none"/>
          <w:u w:val="none"/>
        </w:rPr>
        <w:t>后进行修改的，</w:t>
      </w:r>
      <w:r>
        <w:rPr>
          <w:rFonts w:hint="eastAsia" w:cs="宋体"/>
          <w:color w:val="auto"/>
          <w:kern w:val="0"/>
          <w:szCs w:val="21"/>
          <w:highlight w:val="none"/>
          <w:u w:val="none"/>
        </w:rPr>
        <w:t>应立即将</w:t>
      </w:r>
      <w:r>
        <w:rPr>
          <w:rFonts w:cs="宋体"/>
          <w:color w:val="auto"/>
          <w:kern w:val="0"/>
          <w:szCs w:val="21"/>
          <w:highlight w:val="none"/>
          <w:u w:val="none"/>
        </w:rPr>
        <w:t>修改后的密码通知托管人</w:t>
      </w:r>
      <w:r>
        <w:rPr>
          <w:rFonts w:hint="eastAsia" w:cs="宋体"/>
          <w:color w:val="auto"/>
          <w:kern w:val="0"/>
          <w:szCs w:val="21"/>
          <w:highlight w:val="none"/>
          <w:u w:val="none"/>
        </w:rPr>
        <w:t>；</w:t>
      </w:r>
      <w:r>
        <w:rPr>
          <w:rFonts w:cs="宋体"/>
          <w:color w:val="auto"/>
          <w:kern w:val="0"/>
          <w:szCs w:val="21"/>
          <w:highlight w:val="none"/>
          <w:u w:val="none"/>
        </w:rPr>
        <w:t>否则托管人对因此造成的证券、期货、期权资金账户出金交易的影响不承担任何责任。</w:t>
      </w:r>
    </w:p>
    <w:p>
      <w:pPr>
        <w:pStyle w:val="47"/>
        <w:widowControl/>
        <w:numPr>
          <w:ilvl w:val="0"/>
          <w:numId w:val="0"/>
        </w:numPr>
        <w:spacing w:line="360" w:lineRule="auto"/>
        <w:ind w:left="0" w:firstLine="420" w:firstLineChars="0"/>
        <w:rPr>
          <w:rFonts w:ascii="楷体" w:hAnsi="楷体" w:eastAsia="楷体" w:cs="宋体"/>
          <w:color w:val="auto"/>
          <w:kern w:val="0"/>
          <w:szCs w:val="21"/>
          <w:highlight w:val="none"/>
          <w:u w:val="none"/>
        </w:rPr>
      </w:pPr>
      <w:r>
        <w:rPr>
          <w:rFonts w:hint="eastAsia" w:ascii="楷体" w:hAnsi="楷体" w:eastAsia="楷体" w:cs="宋体"/>
          <w:color w:val="auto"/>
          <w:kern w:val="0"/>
          <w:szCs w:val="21"/>
          <w:highlight w:val="none"/>
          <w:u w:val="none"/>
        </w:rPr>
        <w:t>（五）银行间债券市场交易的清算和交收</w:t>
      </w:r>
    </w:p>
    <w:p>
      <w:pPr>
        <w:pStyle w:val="81"/>
        <w:rPr>
          <w:rFonts w:ascii="楷体" w:hAnsi="楷体" w:eastAsia="楷体" w:cs="宋体"/>
          <w:color w:val="auto"/>
          <w:kern w:val="0"/>
          <w:szCs w:val="21"/>
          <w:highlight w:val="none"/>
          <w:u w:val="none"/>
        </w:rPr>
      </w:pPr>
      <w:r>
        <w:rPr>
          <w:rFonts w:hint="eastAsia" w:cs="宋体"/>
          <w:color w:val="auto"/>
          <w:kern w:val="0"/>
          <w:szCs w:val="21"/>
          <w:highlight w:val="none"/>
          <w:u w:val="none"/>
        </w:rPr>
        <w:t>对于银行间债券市场交易的</w:t>
      </w:r>
      <w:r>
        <w:rPr>
          <w:rFonts w:cs="宋体"/>
          <w:color w:val="auto"/>
          <w:kern w:val="0"/>
          <w:szCs w:val="21"/>
          <w:highlight w:val="none"/>
          <w:u w:val="none"/>
        </w:rPr>
        <w:t>划款，</w:t>
      </w:r>
      <w:r>
        <w:rPr>
          <w:rFonts w:hint="eastAsia" w:cs="宋体"/>
          <w:color w:val="auto"/>
          <w:kern w:val="0"/>
          <w:szCs w:val="21"/>
          <w:highlight w:val="none"/>
          <w:u w:val="none"/>
        </w:rPr>
        <w:t>由管理人根据</w:t>
      </w:r>
      <w:r>
        <w:rPr>
          <w:rFonts w:cs="宋体"/>
          <w:color w:val="auto"/>
          <w:kern w:val="0"/>
          <w:szCs w:val="21"/>
          <w:highlight w:val="none"/>
          <w:u w:val="none"/>
        </w:rPr>
        <w:t>本合同的约定</w:t>
      </w:r>
      <w:r>
        <w:rPr>
          <w:rFonts w:hint="eastAsia" w:cs="宋体"/>
          <w:color w:val="auto"/>
          <w:kern w:val="0"/>
          <w:szCs w:val="21"/>
          <w:highlight w:val="none"/>
          <w:u w:val="none"/>
        </w:rPr>
        <w:t>出具划款指令和</w:t>
      </w:r>
      <w:r>
        <w:rPr>
          <w:rFonts w:cs="宋体"/>
          <w:color w:val="auto"/>
          <w:kern w:val="0"/>
          <w:szCs w:val="21"/>
          <w:highlight w:val="none"/>
          <w:u w:val="none"/>
        </w:rPr>
        <w:t>成交单</w:t>
      </w:r>
      <w:r>
        <w:rPr>
          <w:rFonts w:hint="eastAsia" w:cs="宋体"/>
          <w:color w:val="auto"/>
          <w:kern w:val="0"/>
          <w:szCs w:val="21"/>
          <w:highlight w:val="none"/>
          <w:u w:val="none"/>
        </w:rPr>
        <w:t>（成交单</w:t>
      </w:r>
      <w:r>
        <w:rPr>
          <w:rFonts w:cs="宋体"/>
          <w:color w:val="auto"/>
          <w:kern w:val="0"/>
          <w:szCs w:val="21"/>
          <w:highlight w:val="none"/>
          <w:u w:val="none"/>
        </w:rPr>
        <w:t>应包括</w:t>
      </w:r>
      <w:r>
        <w:rPr>
          <w:rFonts w:hint="eastAsia" w:cs="宋体"/>
          <w:color w:val="auto"/>
          <w:kern w:val="0"/>
          <w:szCs w:val="21"/>
          <w:highlight w:val="none"/>
          <w:u w:val="none"/>
        </w:rPr>
        <w:t>债券名称、债券代码、交收金额、交收日期、对手方信息等必备</w:t>
      </w:r>
      <w:r>
        <w:rPr>
          <w:rFonts w:cs="宋体"/>
          <w:color w:val="auto"/>
          <w:kern w:val="0"/>
          <w:szCs w:val="21"/>
          <w:highlight w:val="none"/>
          <w:u w:val="none"/>
        </w:rPr>
        <w:t>要素</w:t>
      </w:r>
      <w:r>
        <w:rPr>
          <w:rFonts w:hint="eastAsia" w:cs="宋体"/>
          <w:color w:val="auto"/>
          <w:kern w:val="0"/>
          <w:szCs w:val="21"/>
          <w:highlight w:val="none"/>
          <w:u w:val="none"/>
        </w:rPr>
        <w:t>），托管人审核通过后，将相应资金从基金托管账户划到基金银行间市场债券结算资金账户。</w:t>
      </w:r>
    </w:p>
    <w:p>
      <w:pPr>
        <w:pStyle w:val="81"/>
        <w:rPr>
          <w:rFonts w:ascii="楷体" w:hAnsi="楷体" w:eastAsia="楷体" w:cs="宋体"/>
          <w:color w:val="auto"/>
          <w:kern w:val="0"/>
          <w:szCs w:val="21"/>
          <w:highlight w:val="none"/>
          <w:u w:val="none"/>
        </w:rPr>
      </w:pPr>
      <w:r>
        <w:rPr>
          <w:rFonts w:hint="eastAsia" w:cs="宋体"/>
          <w:color w:val="auto"/>
          <w:kern w:val="0"/>
          <w:szCs w:val="21"/>
          <w:highlight w:val="none"/>
          <w:u w:val="none"/>
        </w:rPr>
        <w:t>托管人通过银行间债券市场资金交收平台完成银行间债券市场交易的最终清算和交收。</w:t>
      </w:r>
    </w:p>
    <w:p>
      <w:pPr>
        <w:pStyle w:val="81"/>
        <w:rPr>
          <w:rFonts w:ascii="楷体" w:hAnsi="楷体" w:eastAsia="楷体" w:cs="宋体"/>
          <w:color w:val="auto"/>
          <w:kern w:val="0"/>
          <w:szCs w:val="21"/>
          <w:highlight w:val="none"/>
          <w:u w:val="none"/>
        </w:rPr>
      </w:pPr>
      <w:r>
        <w:rPr>
          <w:rFonts w:hint="eastAsia" w:cs="宋体"/>
          <w:color w:val="auto"/>
          <w:kern w:val="0"/>
          <w:szCs w:val="21"/>
          <w:highlight w:val="none"/>
          <w:u w:val="none"/>
        </w:rPr>
        <w:t>（六）场外交易的清算和交收</w:t>
      </w:r>
    </w:p>
    <w:p>
      <w:pPr>
        <w:pStyle w:val="81"/>
        <w:rPr>
          <w:rFonts w:ascii="楷体" w:hAnsi="楷体" w:eastAsia="楷体" w:cs="宋体"/>
          <w:color w:val="auto"/>
          <w:kern w:val="0"/>
          <w:szCs w:val="21"/>
          <w:highlight w:val="none"/>
          <w:u w:val="none"/>
        </w:rPr>
      </w:pPr>
      <w:r>
        <w:rPr>
          <w:rFonts w:cs="宋体"/>
          <w:color w:val="auto"/>
          <w:kern w:val="0"/>
          <w:szCs w:val="21"/>
          <w:highlight w:val="none"/>
          <w:u w:val="none"/>
        </w:rPr>
        <w:t>1.</w:t>
      </w:r>
      <w:r>
        <w:rPr>
          <w:rFonts w:hint="eastAsia" w:cs="宋体"/>
          <w:color w:val="auto"/>
          <w:kern w:val="0"/>
          <w:szCs w:val="21"/>
          <w:highlight w:val="none"/>
          <w:u w:val="none"/>
        </w:rPr>
        <w:t>对于本章节</w:t>
      </w:r>
      <w:r>
        <w:rPr>
          <w:rFonts w:cs="宋体"/>
          <w:color w:val="auto"/>
          <w:kern w:val="0"/>
          <w:szCs w:val="21"/>
          <w:highlight w:val="none"/>
          <w:u w:val="none"/>
        </w:rPr>
        <w:t>第</w:t>
      </w:r>
      <w:r>
        <w:rPr>
          <w:rFonts w:hint="eastAsia" w:cs="宋体"/>
          <w:color w:val="auto"/>
          <w:kern w:val="0"/>
          <w:szCs w:val="21"/>
          <w:highlight w:val="none"/>
          <w:u w:val="none"/>
        </w:rPr>
        <w:t>（一）项至</w:t>
      </w:r>
      <w:r>
        <w:rPr>
          <w:rFonts w:cs="宋体"/>
          <w:color w:val="auto"/>
          <w:kern w:val="0"/>
          <w:szCs w:val="21"/>
          <w:highlight w:val="none"/>
          <w:u w:val="none"/>
        </w:rPr>
        <w:t>第</w:t>
      </w:r>
      <w:r>
        <w:rPr>
          <w:rFonts w:hint="eastAsia" w:cs="宋体"/>
          <w:color w:val="auto"/>
          <w:kern w:val="0"/>
          <w:szCs w:val="21"/>
          <w:highlight w:val="none"/>
          <w:u w:val="none"/>
        </w:rPr>
        <w:t>（五）项</w:t>
      </w:r>
      <w:r>
        <w:rPr>
          <w:rFonts w:cs="宋体"/>
          <w:color w:val="auto"/>
          <w:kern w:val="0"/>
          <w:szCs w:val="21"/>
          <w:highlight w:val="none"/>
          <w:u w:val="none"/>
        </w:rPr>
        <w:t>所</w:t>
      </w:r>
      <w:r>
        <w:rPr>
          <w:rFonts w:hint="eastAsia" w:cs="宋体"/>
          <w:color w:val="auto"/>
          <w:kern w:val="0"/>
          <w:szCs w:val="21"/>
          <w:highlight w:val="none"/>
          <w:u w:val="none"/>
        </w:rPr>
        <w:t>述场所外的交易的清算和交收，以及相关费用的支付，由管理人按照</w:t>
      </w:r>
      <w:r>
        <w:rPr>
          <w:rFonts w:cs="宋体"/>
          <w:color w:val="auto"/>
          <w:kern w:val="0"/>
          <w:szCs w:val="21"/>
          <w:highlight w:val="none"/>
          <w:u w:val="none"/>
        </w:rPr>
        <w:t>本合同的约定</w:t>
      </w:r>
      <w:r>
        <w:rPr>
          <w:rFonts w:hint="eastAsia" w:cs="宋体"/>
          <w:color w:val="auto"/>
          <w:kern w:val="0"/>
          <w:szCs w:val="21"/>
          <w:highlight w:val="none"/>
          <w:u w:val="none"/>
        </w:rPr>
        <w:t>出具划款指令，托管人审核通过后将资金从托管账户划付到相应的收款方账户，</w:t>
      </w:r>
      <w:r>
        <w:rPr>
          <w:rFonts w:cs="宋体"/>
          <w:color w:val="auto"/>
          <w:kern w:val="0"/>
          <w:szCs w:val="21"/>
          <w:highlight w:val="none"/>
          <w:u w:val="none"/>
        </w:rPr>
        <w:t>但本合同另有约定的除外</w:t>
      </w:r>
      <w:r>
        <w:rPr>
          <w:rFonts w:hint="eastAsia" w:cs="宋体"/>
          <w:color w:val="auto"/>
          <w:kern w:val="0"/>
          <w:szCs w:val="21"/>
          <w:highlight w:val="none"/>
          <w:u w:val="none"/>
        </w:rPr>
        <w:t>。</w:t>
      </w:r>
    </w:p>
    <w:p>
      <w:pPr>
        <w:pStyle w:val="81"/>
        <w:rPr>
          <w:rFonts w:ascii="楷体" w:hAnsi="楷体" w:eastAsia="楷体"/>
          <w:color w:val="auto"/>
          <w:kern w:val="0"/>
          <w:szCs w:val="21"/>
          <w:highlight w:val="none"/>
          <w:u w:val="none"/>
        </w:rPr>
      </w:pPr>
      <w:r>
        <w:rPr>
          <w:color w:val="auto"/>
          <w:kern w:val="0"/>
          <w:szCs w:val="21"/>
          <w:highlight w:val="none"/>
          <w:u w:val="none"/>
        </w:rPr>
        <w:t>2.</w:t>
      </w:r>
      <w:r>
        <w:rPr>
          <w:rFonts w:hint="eastAsia"/>
          <w:color w:val="auto"/>
          <w:kern w:val="0"/>
          <w:szCs w:val="21"/>
          <w:highlight w:val="none"/>
          <w:u w:val="none"/>
        </w:rPr>
        <w:t>开放式基金认购、申购、赎回的交易安排</w:t>
      </w:r>
    </w:p>
    <w:p>
      <w:pPr>
        <w:pStyle w:val="81"/>
        <w:rPr>
          <w:rFonts w:ascii="楷体" w:hAnsi="楷体" w:eastAsia="楷体"/>
          <w:color w:val="auto"/>
          <w:kern w:val="0"/>
          <w:szCs w:val="21"/>
          <w:highlight w:val="none"/>
          <w:u w:val="none"/>
        </w:rPr>
      </w:pPr>
      <w:r>
        <w:rPr>
          <w:rFonts w:hint="eastAsia"/>
          <w:color w:val="auto"/>
          <w:kern w:val="0"/>
          <w:szCs w:val="21"/>
          <w:highlight w:val="none"/>
          <w:u w:val="none"/>
        </w:rPr>
        <w:t>管理人与托管人在办理开放式基金认购、申购、赎回中的权利、义务、职责遵照有关法律法规规定执行。</w:t>
      </w:r>
    </w:p>
    <w:p>
      <w:pPr>
        <w:pStyle w:val="81"/>
        <w:rPr>
          <w:rFonts w:ascii="楷体" w:hAnsi="楷体" w:eastAsia="楷体"/>
          <w:color w:val="auto"/>
          <w:kern w:val="0"/>
          <w:szCs w:val="21"/>
          <w:highlight w:val="none"/>
          <w:u w:val="none"/>
        </w:rPr>
      </w:pPr>
      <w:r>
        <w:rPr>
          <w:rFonts w:hint="eastAsia"/>
          <w:color w:val="auto"/>
          <w:kern w:val="0"/>
          <w:szCs w:val="21"/>
          <w:highlight w:val="none"/>
          <w:u w:val="none"/>
        </w:rPr>
        <w:t>管理人申购（认购）开放式基金时，应将划款指令连同基金申购（认购）申请单按本合同</w:t>
      </w:r>
      <w:r>
        <w:rPr>
          <w:rFonts w:cs="宋体"/>
          <w:color w:val="auto"/>
          <w:kern w:val="0"/>
          <w:szCs w:val="21"/>
          <w:highlight w:val="none"/>
          <w:u w:val="none"/>
        </w:rPr>
        <w:t>第十四节</w:t>
      </w:r>
      <w:r>
        <w:rPr>
          <w:rFonts w:hint="eastAsia" w:cs="宋体"/>
          <w:color w:val="auto"/>
          <w:kern w:val="0"/>
          <w:szCs w:val="21"/>
          <w:highlight w:val="none"/>
          <w:u w:val="none"/>
        </w:rPr>
        <w:t>的</w:t>
      </w:r>
      <w:r>
        <w:rPr>
          <w:rFonts w:cs="宋体"/>
          <w:color w:val="auto"/>
          <w:kern w:val="0"/>
          <w:szCs w:val="21"/>
          <w:highlight w:val="none"/>
          <w:u w:val="none"/>
        </w:rPr>
        <w:t>约定</w:t>
      </w:r>
      <w:r>
        <w:rPr>
          <w:rFonts w:hint="eastAsia" w:cs="宋体"/>
          <w:color w:val="auto"/>
          <w:kern w:val="0"/>
          <w:szCs w:val="21"/>
          <w:highlight w:val="none"/>
          <w:u w:val="none"/>
        </w:rPr>
        <w:t>发送</w:t>
      </w:r>
      <w:r>
        <w:rPr>
          <w:rFonts w:cs="宋体"/>
          <w:color w:val="auto"/>
          <w:kern w:val="0"/>
          <w:szCs w:val="21"/>
          <w:highlight w:val="none"/>
          <w:u w:val="none"/>
        </w:rPr>
        <w:t>至</w:t>
      </w:r>
      <w:r>
        <w:rPr>
          <w:rFonts w:hint="eastAsia" w:cs="宋体"/>
          <w:color w:val="auto"/>
          <w:kern w:val="0"/>
          <w:szCs w:val="21"/>
          <w:highlight w:val="none"/>
          <w:u w:val="none"/>
        </w:rPr>
        <w:t>托管人。托管人审核无误后，应及时将划款指令交付执行，并对划款指令执行情况进行查询，将执行结果通知管理人。管理人应及时向销售机构索取开放式基金申购（认购）确认单并在收到后传真给托管人，以作为双方进行会计核算的依据。</w:t>
      </w:r>
    </w:p>
    <w:p>
      <w:pPr>
        <w:pStyle w:val="81"/>
        <w:rPr>
          <w:rFonts w:ascii="楷体" w:hAnsi="楷体" w:eastAsia="楷体"/>
          <w:color w:val="auto"/>
          <w:kern w:val="0"/>
          <w:szCs w:val="21"/>
          <w:highlight w:val="none"/>
          <w:u w:val="none"/>
        </w:rPr>
      </w:pPr>
      <w:r>
        <w:rPr>
          <w:rFonts w:hint="eastAsia"/>
          <w:color w:val="auto"/>
          <w:kern w:val="0"/>
          <w:szCs w:val="21"/>
          <w:highlight w:val="none"/>
          <w:u w:val="none"/>
        </w:rPr>
        <w:t>管理人赎回开放式基金时，应同时向基金管理公司或代销机构和托管人发出基金赎回申请书。</w:t>
      </w:r>
      <w:r>
        <w:rPr>
          <w:rFonts w:hint="eastAsia" w:cs="宋体"/>
          <w:color w:val="auto"/>
          <w:kern w:val="0"/>
          <w:szCs w:val="21"/>
          <w:highlight w:val="none"/>
          <w:u w:val="none"/>
        </w:rPr>
        <w:t>管理人可通过</w:t>
      </w:r>
      <w:r>
        <w:rPr>
          <w:rFonts w:hint="eastAsia"/>
          <w:color w:val="auto"/>
          <w:kern w:val="0"/>
          <w:szCs w:val="21"/>
          <w:highlight w:val="none"/>
          <w:u w:val="none"/>
        </w:rPr>
        <w:t>托管人</w:t>
      </w:r>
      <w:r>
        <w:rPr>
          <w:rFonts w:hint="eastAsia" w:cs="宋体"/>
          <w:color w:val="auto"/>
          <w:kern w:val="0"/>
          <w:szCs w:val="21"/>
          <w:highlight w:val="none"/>
          <w:u w:val="none"/>
        </w:rPr>
        <w:t>提供的鑫管家平台实时</w:t>
      </w:r>
      <w:r>
        <w:rPr>
          <w:rFonts w:hint="eastAsia"/>
          <w:color w:val="auto"/>
          <w:kern w:val="0"/>
          <w:szCs w:val="21"/>
          <w:highlight w:val="none"/>
          <w:u w:val="none"/>
        </w:rPr>
        <w:t>查询</w:t>
      </w:r>
      <w:r>
        <w:rPr>
          <w:rFonts w:hint="eastAsia" w:cs="宋体"/>
          <w:color w:val="auto"/>
          <w:kern w:val="0"/>
          <w:szCs w:val="21"/>
          <w:highlight w:val="none"/>
          <w:u w:val="none"/>
        </w:rPr>
        <w:t>赎回</w:t>
      </w:r>
      <w:r>
        <w:rPr>
          <w:rFonts w:cs="宋体"/>
          <w:color w:val="auto"/>
          <w:kern w:val="0"/>
          <w:szCs w:val="21"/>
          <w:highlight w:val="none"/>
          <w:u w:val="none"/>
        </w:rPr>
        <w:t>资金</w:t>
      </w:r>
      <w:r>
        <w:rPr>
          <w:rFonts w:hint="eastAsia"/>
          <w:color w:val="auto"/>
          <w:kern w:val="0"/>
          <w:szCs w:val="21"/>
          <w:highlight w:val="none"/>
          <w:u w:val="none"/>
        </w:rPr>
        <w:t>到</w:t>
      </w:r>
      <w:r>
        <w:rPr>
          <w:rFonts w:hint="eastAsia" w:cs="宋体"/>
          <w:color w:val="auto"/>
          <w:kern w:val="0"/>
          <w:szCs w:val="21"/>
          <w:highlight w:val="none"/>
          <w:u w:val="none"/>
        </w:rPr>
        <w:t>账</w:t>
      </w:r>
      <w:r>
        <w:rPr>
          <w:rFonts w:hint="eastAsia"/>
          <w:color w:val="auto"/>
          <w:kern w:val="0"/>
          <w:szCs w:val="21"/>
          <w:highlight w:val="none"/>
          <w:u w:val="none"/>
        </w:rPr>
        <w:t>情况。管理人应及时向销售机构索取开放式基金赎回确认单，</w:t>
      </w:r>
      <w:r>
        <w:rPr>
          <w:rFonts w:hint="eastAsia" w:cs="宋体"/>
          <w:color w:val="auto"/>
          <w:kern w:val="0"/>
          <w:szCs w:val="21"/>
          <w:highlight w:val="none"/>
          <w:u w:val="none"/>
        </w:rPr>
        <w:t>并发送给</w:t>
      </w:r>
      <w:r>
        <w:rPr>
          <w:rFonts w:hint="eastAsia"/>
          <w:color w:val="auto"/>
          <w:kern w:val="0"/>
          <w:szCs w:val="21"/>
          <w:highlight w:val="none"/>
          <w:u w:val="none"/>
        </w:rPr>
        <w:t>托管人，以作为双方进行会计核算的依据。对于因基金管理公司不能在约定的时间提供开放式基金交易确认凭证、分红凭证、拆分数据等，致使托管人在估值日缺乏必要的核算依据而造成的资产核算和估值差错，托管人不承担相关责任。</w:t>
      </w:r>
    </w:p>
    <w:p>
      <w:pPr>
        <w:pStyle w:val="81"/>
        <w:rPr>
          <w:rFonts w:ascii="楷体" w:hAnsi="楷体" w:eastAsia="楷体" w:cs="宋体"/>
          <w:color w:val="auto"/>
          <w:kern w:val="0"/>
          <w:szCs w:val="21"/>
          <w:highlight w:val="none"/>
          <w:u w:val="none"/>
        </w:rPr>
      </w:pPr>
      <w:r>
        <w:rPr>
          <w:rFonts w:hint="eastAsia" w:cs="宋体"/>
          <w:color w:val="auto"/>
          <w:kern w:val="0"/>
          <w:szCs w:val="21"/>
          <w:highlight w:val="none"/>
          <w:u w:val="none"/>
        </w:rPr>
        <w:t>（七）其他</w:t>
      </w:r>
    </w:p>
    <w:p>
      <w:pPr>
        <w:pStyle w:val="81"/>
        <w:rPr>
          <w:color w:val="auto"/>
          <w:highlight w:val="none"/>
          <w:u w:val="none"/>
        </w:rPr>
      </w:pPr>
      <w:r>
        <w:rPr>
          <w:rFonts w:hint="eastAsia"/>
          <w:color w:val="auto"/>
          <w:kern w:val="0"/>
          <w:szCs w:val="21"/>
          <w:highlight w:val="none"/>
          <w:u w:val="none"/>
        </w:rPr>
        <w:t>因投资运作需要由管理人自行为本产品开立交易账户的，管理人须于该账户进行交易前以邮件或其他双方认可的方式告知托管人，并确保相关交易数据及时、准确的发送给托管人，因交易数据未及时提供所造成的影响，托管人不承担任何责任。</w:t>
      </w:r>
    </w:p>
    <w:bookmarkEnd w:id="43"/>
    <w:bookmarkEnd w:id="44"/>
    <w:bookmarkEnd w:id="45"/>
    <w:bookmarkEnd w:id="46"/>
    <w:bookmarkEnd w:id="47"/>
    <w:bookmarkEnd w:id="48"/>
    <w:bookmarkEnd w:id="49"/>
    <w:p>
      <w:pPr>
        <w:pStyle w:val="4"/>
        <w:snapToGrid/>
        <w:spacing w:beforeLines="100" w:afterLines="50"/>
        <w:rPr>
          <w:rFonts w:ascii="楷体" w:hAnsi="楷体" w:eastAsia="楷体"/>
          <w:color w:val="auto"/>
          <w:sz w:val="24"/>
          <w:highlight w:val="none"/>
          <w:u w:val="none"/>
        </w:rPr>
      </w:pPr>
      <w:bookmarkStart w:id="50" w:name="_Toc260056789"/>
      <w:bookmarkStart w:id="51" w:name="_Toc194741916"/>
      <w:bookmarkStart w:id="52" w:name="_Toc482974540"/>
      <w:r>
        <w:rPr>
          <w:rFonts w:ascii="楷体" w:hAnsi="楷体" w:eastAsia="楷体"/>
          <w:color w:val="auto"/>
          <w:sz w:val="24"/>
          <w:highlight w:val="none"/>
          <w:u w:val="none"/>
        </w:rPr>
        <w:t>第十</w:t>
      </w:r>
      <w:r>
        <w:rPr>
          <w:rFonts w:hint="eastAsia" w:ascii="楷体" w:hAnsi="楷体" w:eastAsia="楷体"/>
          <w:color w:val="auto"/>
          <w:sz w:val="24"/>
          <w:highlight w:val="none"/>
          <w:u w:val="none"/>
        </w:rPr>
        <w:t>六</w:t>
      </w:r>
      <w:r>
        <w:rPr>
          <w:rFonts w:ascii="楷体" w:hAnsi="楷体" w:eastAsia="楷体"/>
          <w:color w:val="auto"/>
          <w:sz w:val="24"/>
          <w:highlight w:val="none"/>
          <w:u w:val="none"/>
        </w:rPr>
        <w:t>节</w:t>
      </w:r>
      <w:bookmarkEnd w:id="50"/>
      <w:bookmarkEnd w:id="51"/>
      <w:r>
        <w:rPr>
          <w:rFonts w:hint="eastAsia" w:ascii="楷体" w:hAnsi="楷体" w:eastAsia="楷体"/>
          <w:color w:val="auto"/>
          <w:sz w:val="24"/>
          <w:highlight w:val="none"/>
          <w:u w:val="none"/>
        </w:rPr>
        <w:t>托管人的监督职责</w:t>
      </w:r>
      <w:bookmarkEnd w:id="52"/>
    </w:p>
    <w:p>
      <w:pPr>
        <w:pStyle w:val="81"/>
        <w:rPr>
          <w:color w:val="auto"/>
          <w:highlight w:val="none"/>
          <w:u w:val="none"/>
        </w:rPr>
      </w:pPr>
      <w:r>
        <w:rPr>
          <w:color w:val="auto"/>
          <w:highlight w:val="none"/>
          <w:u w:val="none"/>
        </w:rPr>
        <w:t>(</w:t>
      </w:r>
      <w:r>
        <w:rPr>
          <w:rFonts w:hint="eastAsia"/>
          <w:color w:val="auto"/>
          <w:highlight w:val="none"/>
          <w:u w:val="none"/>
        </w:rPr>
        <w:t>一</w:t>
      </w:r>
      <w:r>
        <w:rPr>
          <w:color w:val="auto"/>
          <w:highlight w:val="none"/>
          <w:u w:val="none"/>
        </w:rPr>
        <w:t>)托管人按照法律法规规定及本</w:t>
      </w:r>
      <w:r>
        <w:rPr>
          <w:rFonts w:hint="eastAsia"/>
          <w:color w:val="auto"/>
          <w:highlight w:val="none"/>
          <w:u w:val="none"/>
        </w:rPr>
        <w:t>节</w:t>
      </w:r>
      <w:r>
        <w:rPr>
          <w:color w:val="auto"/>
          <w:highlight w:val="none"/>
          <w:u w:val="none"/>
        </w:rPr>
        <w:t>约定对管理人的投资行为行使监督权</w:t>
      </w:r>
      <w:r>
        <w:rPr>
          <w:rFonts w:hint="eastAsia"/>
          <w:color w:val="auto"/>
          <w:highlight w:val="none"/>
          <w:u w:val="none"/>
        </w:rPr>
        <w:t>，</w:t>
      </w:r>
      <w:r>
        <w:rPr>
          <w:color w:val="auto"/>
          <w:highlight w:val="none"/>
          <w:u w:val="none"/>
        </w:rPr>
        <w:t>托管人对基金财产的监督和检查自本基金</w:t>
      </w:r>
      <w:r>
        <w:rPr>
          <w:rFonts w:hint="eastAsia"/>
          <w:color w:val="auto"/>
          <w:highlight w:val="none"/>
          <w:u w:val="none"/>
        </w:rPr>
        <w:t>建账估值之</w:t>
      </w:r>
      <w:r>
        <w:rPr>
          <w:color w:val="auto"/>
          <w:highlight w:val="none"/>
          <w:u w:val="none"/>
        </w:rPr>
        <w:t>日起开始。</w:t>
      </w:r>
    </w:p>
    <w:p>
      <w:pPr>
        <w:pStyle w:val="81"/>
        <w:rPr>
          <w:color w:val="auto"/>
          <w:highlight w:val="none"/>
          <w:u w:val="none"/>
        </w:rPr>
      </w:pPr>
      <w:r>
        <w:rPr>
          <w:color w:val="auto"/>
          <w:highlight w:val="none"/>
          <w:u w:val="none"/>
        </w:rPr>
        <w:t>1.</w:t>
      </w:r>
      <w:r>
        <w:rPr>
          <w:rFonts w:hint="eastAsia"/>
          <w:color w:val="auto"/>
          <w:highlight w:val="none"/>
          <w:u w:val="none"/>
        </w:rPr>
        <w:t>受监督手段所限，本基金存续期间，托管人仅对投资范围、投资限制列明</w:t>
      </w:r>
      <w:r>
        <w:rPr>
          <w:color w:val="auto"/>
          <w:highlight w:val="none"/>
          <w:u w:val="none"/>
        </w:rPr>
        <w:t>的</w:t>
      </w:r>
      <w:r>
        <w:rPr>
          <w:rFonts w:hint="eastAsia"/>
          <w:color w:val="auto"/>
          <w:highlight w:val="none"/>
          <w:u w:val="none"/>
        </w:rPr>
        <w:t>场内</w:t>
      </w:r>
      <w:r>
        <w:rPr>
          <w:color w:val="auto"/>
          <w:highlight w:val="none"/>
          <w:u w:val="none"/>
        </w:rPr>
        <w:t>品种</w:t>
      </w:r>
      <w:r>
        <w:rPr>
          <w:rFonts w:hint="eastAsia"/>
          <w:color w:val="auto"/>
          <w:highlight w:val="none"/>
          <w:u w:val="none"/>
        </w:rPr>
        <w:t>投资进行盘后监督，而非实时监督、管控。因管理人未依照本合同约定的投资范围、投资限制进行投资给基金财产或者基金份额持有人造成财产损失的，托管人不承担任何责任。为避免疑义</w:t>
      </w:r>
      <w:r>
        <w:rPr>
          <w:color w:val="auto"/>
          <w:highlight w:val="none"/>
          <w:u w:val="none"/>
        </w:rPr>
        <w:t>，托管人</w:t>
      </w:r>
      <w:r>
        <w:rPr>
          <w:rFonts w:hint="eastAsia"/>
          <w:color w:val="auto"/>
          <w:highlight w:val="none"/>
          <w:u w:val="none"/>
        </w:rPr>
        <w:t>受监督</w:t>
      </w:r>
      <w:r>
        <w:rPr>
          <w:color w:val="auto"/>
          <w:highlight w:val="none"/>
          <w:u w:val="none"/>
        </w:rPr>
        <w:t>手段所限，</w:t>
      </w:r>
      <w:r>
        <w:rPr>
          <w:rFonts w:hint="eastAsia"/>
          <w:color w:val="auto"/>
          <w:highlight w:val="none"/>
          <w:u w:val="none"/>
        </w:rPr>
        <w:t>在</w:t>
      </w:r>
      <w:r>
        <w:rPr>
          <w:color w:val="auto"/>
          <w:highlight w:val="none"/>
          <w:u w:val="none"/>
        </w:rPr>
        <w:t>盘后监督过程中，</w:t>
      </w:r>
      <w:r>
        <w:rPr>
          <w:rFonts w:hint="eastAsia"/>
          <w:color w:val="auto"/>
          <w:highlight w:val="none"/>
          <w:u w:val="none"/>
        </w:rPr>
        <w:t>不承担对投资范围、投资策略、投资限制、</w:t>
      </w:r>
      <w:r>
        <w:rPr>
          <w:color w:val="auto"/>
          <w:highlight w:val="none"/>
          <w:u w:val="none"/>
        </w:rPr>
        <w:t>投资禁止行为</w:t>
      </w:r>
      <w:r>
        <w:rPr>
          <w:rFonts w:hint="eastAsia"/>
          <w:color w:val="auto"/>
          <w:highlight w:val="none"/>
          <w:u w:val="none"/>
        </w:rPr>
        <w:t>中</w:t>
      </w:r>
      <w:r>
        <w:rPr>
          <w:color w:val="auto"/>
          <w:highlight w:val="none"/>
          <w:u w:val="none"/>
        </w:rPr>
        <w:t>约定</w:t>
      </w:r>
      <w:r>
        <w:rPr>
          <w:rFonts w:hint="eastAsia"/>
          <w:color w:val="auto"/>
          <w:highlight w:val="none"/>
          <w:u w:val="none"/>
        </w:rPr>
        <w:t>的以下</w:t>
      </w:r>
      <w:r>
        <w:rPr>
          <w:color w:val="auto"/>
          <w:highlight w:val="none"/>
          <w:u w:val="none"/>
        </w:rPr>
        <w:t>事项的投资监督</w:t>
      </w:r>
      <w:r>
        <w:rPr>
          <w:rFonts w:hint="eastAsia"/>
          <w:color w:val="auto"/>
          <w:highlight w:val="none"/>
          <w:u w:val="none"/>
        </w:rPr>
        <w:t>职责</w:t>
      </w:r>
      <w:r>
        <w:rPr>
          <w:color w:val="auto"/>
          <w:highlight w:val="none"/>
          <w:u w:val="none"/>
        </w:rPr>
        <w:t>：</w:t>
      </w:r>
      <w:r>
        <w:rPr>
          <w:rFonts w:hint="eastAsia"/>
          <w:color w:val="auto"/>
          <w:highlight w:val="none"/>
          <w:u w:val="none"/>
        </w:rPr>
        <w:t>本合同“基金的投资”章节，第（三）项“投资策略”和第</w:t>
      </w:r>
      <w:r>
        <w:rPr>
          <w:color w:val="auto"/>
          <w:highlight w:val="none"/>
          <w:u w:val="none"/>
        </w:rPr>
        <w:t>（</w:t>
      </w:r>
      <w:r>
        <w:rPr>
          <w:rFonts w:hint="eastAsia"/>
          <w:color w:val="auto"/>
          <w:highlight w:val="none"/>
          <w:u w:val="none"/>
        </w:rPr>
        <w:t>五</w:t>
      </w:r>
      <w:r>
        <w:rPr>
          <w:color w:val="auto"/>
          <w:highlight w:val="none"/>
          <w:u w:val="none"/>
        </w:rPr>
        <w:t>）</w:t>
      </w:r>
      <w:r>
        <w:rPr>
          <w:rFonts w:hint="eastAsia"/>
          <w:color w:val="auto"/>
          <w:highlight w:val="none"/>
          <w:u w:val="none"/>
        </w:rPr>
        <w:t>项“投资禁止行为”。</w:t>
      </w:r>
    </w:p>
    <w:p>
      <w:pPr>
        <w:pStyle w:val="81"/>
        <w:rPr>
          <w:color w:val="auto"/>
          <w:highlight w:val="none"/>
          <w:u w:val="none"/>
        </w:rPr>
      </w:pPr>
      <w:r>
        <w:rPr>
          <w:color w:val="auto"/>
          <w:highlight w:val="none"/>
          <w:u w:val="none"/>
        </w:rPr>
        <w:t>2.</w:t>
      </w:r>
      <w:r>
        <w:rPr>
          <w:rFonts w:hint="eastAsia"/>
          <w:color w:val="auto"/>
          <w:highlight w:val="none"/>
          <w:u w:val="none"/>
        </w:rPr>
        <w:t>对于场外品种的投资，托管人将在划款前根据本合同“划款指令的发送、确认与执行”章节对相应的划款指令、投资申请书、投资协议等管理人所提供的材料是否符合投资范围、投资限制进行形式审核。场外投资是指除直接或者间接投资于中国金融期货交易所、上海期货交易所、大连商品交易所、郑州商品交易所挂牌交易的期货产品，以及上海证券交易所、深圳证券交易所及上海黄金交易所挂牌交易的各种金融产品以外的产品。</w:t>
      </w:r>
    </w:p>
    <w:p>
      <w:pPr>
        <w:pStyle w:val="81"/>
        <w:rPr>
          <w:color w:val="auto"/>
          <w:highlight w:val="none"/>
          <w:u w:val="none"/>
        </w:rPr>
      </w:pPr>
      <w:r>
        <w:rPr>
          <w:color w:val="auto"/>
          <w:highlight w:val="none"/>
          <w:u w:val="none"/>
        </w:rPr>
        <w:t>3.</w:t>
      </w:r>
      <w:r>
        <w:rPr>
          <w:rFonts w:hint="eastAsia"/>
          <w:color w:val="auto"/>
          <w:highlight w:val="none"/>
          <w:u w:val="none"/>
        </w:rPr>
        <w:t>托管人在投资监督职责范围内，发现产品运作中有不符合合同约定或者达到合同约定的条件时，托管人拟定《业务提示函》通过电子邮件的方式通知管理人。</w:t>
      </w:r>
    </w:p>
    <w:p>
      <w:pPr>
        <w:pStyle w:val="81"/>
        <w:rPr>
          <w:color w:val="auto"/>
          <w:highlight w:val="none"/>
          <w:u w:val="none"/>
        </w:rPr>
      </w:pPr>
      <w:r>
        <w:rPr>
          <w:color w:val="auto"/>
          <w:highlight w:val="none"/>
          <w:u w:val="none"/>
        </w:rPr>
        <w:t>(二)</w:t>
      </w:r>
      <w:r>
        <w:rPr>
          <w:rFonts w:hint="eastAsia"/>
          <w:color w:val="auto"/>
          <w:highlight w:val="none"/>
          <w:u w:val="none"/>
        </w:rPr>
        <w:t>托管人及外包服务机构不承担对于本合同“基金的投资”章节约定的第（八）项风险控制机制的执行情况进行监督的职责。</w:t>
      </w:r>
    </w:p>
    <w:p>
      <w:pPr>
        <w:pStyle w:val="81"/>
        <w:rPr>
          <w:color w:val="auto"/>
          <w:highlight w:val="none"/>
          <w:u w:val="none"/>
        </w:rPr>
      </w:pPr>
      <w:r>
        <w:rPr>
          <w:color w:val="auto"/>
          <w:highlight w:val="none"/>
          <w:u w:val="none"/>
        </w:rPr>
        <w:t>(三)托管人仅负责保管本基金项下托管账户内的现金资产</w:t>
      </w:r>
      <w:r>
        <w:rPr>
          <w:rFonts w:hint="eastAsia"/>
          <w:color w:val="auto"/>
          <w:highlight w:val="none"/>
          <w:u w:val="none"/>
        </w:rPr>
        <w:t>，</w:t>
      </w:r>
      <w:r>
        <w:rPr>
          <w:color w:val="auto"/>
          <w:highlight w:val="none"/>
          <w:u w:val="none"/>
        </w:rPr>
        <w:t>对于本基金项下未由其保管且未受其实际控制的其他资产（包括现金类资产与非现金类资产），托管人不承担保管职责，且对其安全性和完整性不承担任何责任。</w:t>
      </w:r>
    </w:p>
    <w:p>
      <w:pPr>
        <w:pStyle w:val="81"/>
        <w:rPr>
          <w:color w:val="auto"/>
          <w:highlight w:val="none"/>
          <w:u w:val="none"/>
        </w:rPr>
      </w:pPr>
      <w:r>
        <w:rPr>
          <w:color w:val="auto"/>
          <w:highlight w:val="none"/>
          <w:u w:val="none"/>
        </w:rPr>
        <w:t>(四)</w:t>
      </w:r>
      <w:r>
        <w:rPr>
          <w:rFonts w:hint="eastAsia"/>
          <w:color w:val="auto"/>
          <w:highlight w:val="none"/>
          <w:u w:val="none"/>
        </w:rPr>
        <w:t>托管人对于本基金投资收益分配承担的复核职责仅限于：</w:t>
      </w:r>
      <w:r>
        <w:rPr>
          <w:rFonts w:hint="eastAsia"/>
          <w:b/>
          <w:color w:val="auto"/>
          <w:highlight w:val="none"/>
          <w:u w:val="none"/>
        </w:rPr>
        <w:t>对收益分配的总金额进行复核，对于在不同类别投资者之间分配的金额和顺序是否符合合同约定不承担复核义务。</w:t>
      </w:r>
    </w:p>
    <w:p>
      <w:pPr>
        <w:pStyle w:val="81"/>
        <w:rPr>
          <w:color w:val="auto"/>
          <w:highlight w:val="none"/>
          <w:u w:val="none"/>
        </w:rPr>
      </w:pPr>
      <w:r>
        <w:rPr>
          <w:color w:val="auto"/>
          <w:highlight w:val="none"/>
          <w:u w:val="none"/>
        </w:rPr>
        <w:t>(五)</w:t>
      </w:r>
      <w:r>
        <w:rPr>
          <w:rFonts w:hint="eastAsia"/>
          <w:color w:val="auto"/>
          <w:highlight w:val="none"/>
          <w:u w:val="none"/>
        </w:rPr>
        <w:t>对于需要外部市场公共数据支持才可以实现的投资监督，托管人不承担保证外部数据的真实、完整、准确的责任，因外部数据提供商提供数据存在瑕疵导致基金财产的损失，托管人不承担任何责任。</w:t>
      </w:r>
    </w:p>
    <w:p>
      <w:pPr>
        <w:pStyle w:val="81"/>
        <w:rPr>
          <w:color w:val="auto"/>
          <w:highlight w:val="none"/>
          <w:u w:val="none"/>
        </w:rPr>
      </w:pPr>
      <w:r>
        <w:rPr>
          <w:color w:val="auto"/>
          <w:highlight w:val="none"/>
          <w:u w:val="none"/>
        </w:rPr>
        <w:t>(六)</w:t>
      </w:r>
      <w:r>
        <w:rPr>
          <w:rFonts w:hint="eastAsia"/>
          <w:color w:val="auto"/>
          <w:highlight w:val="none"/>
          <w:u w:val="none"/>
        </w:rPr>
        <w:t>全体</w:t>
      </w:r>
      <w:r>
        <w:rPr>
          <w:color w:val="auto"/>
          <w:highlight w:val="none"/>
          <w:u w:val="none"/>
        </w:rPr>
        <w:t>投资人确认，</w:t>
      </w:r>
      <w:r>
        <w:rPr>
          <w:rFonts w:hint="eastAsia"/>
          <w:color w:val="auto"/>
          <w:highlight w:val="none"/>
          <w:u w:val="none"/>
        </w:rPr>
        <w:t>托管人的投资监督职责以本合同约定为限，且托管人投资</w:t>
      </w:r>
      <w:r>
        <w:rPr>
          <w:color w:val="auto"/>
          <w:highlight w:val="none"/>
          <w:u w:val="none"/>
        </w:rPr>
        <w:t>监督的准确性和完整性受限于证券经纪商及其他中介机构提供的数据和信息，合规投资的最终责任在管理人。</w:t>
      </w:r>
    </w:p>
    <w:p>
      <w:pPr>
        <w:pStyle w:val="81"/>
        <w:rPr>
          <w:color w:val="auto"/>
          <w:highlight w:val="none"/>
          <w:u w:val="none"/>
        </w:rPr>
      </w:pPr>
      <w:r>
        <w:rPr>
          <w:color w:val="auto"/>
          <w:highlight w:val="none"/>
          <w:u w:val="none"/>
        </w:rPr>
        <w:t>(七)</w:t>
      </w:r>
      <w:r>
        <w:rPr>
          <w:rFonts w:hint="eastAsia"/>
          <w:color w:val="auto"/>
          <w:highlight w:val="none"/>
          <w:u w:val="none"/>
        </w:rPr>
        <w:t>托管人</w:t>
      </w:r>
      <w:r>
        <w:rPr>
          <w:color w:val="auto"/>
          <w:highlight w:val="none"/>
          <w:u w:val="none"/>
        </w:rPr>
        <w:t>对管理人投资运作的监督，以投资</w:t>
      </w:r>
      <w:r>
        <w:rPr>
          <w:rFonts w:hint="eastAsia"/>
          <w:color w:val="auto"/>
          <w:highlight w:val="none"/>
          <w:u w:val="none"/>
        </w:rPr>
        <w:t>政策</w:t>
      </w:r>
      <w:r>
        <w:rPr>
          <w:color w:val="auto"/>
          <w:highlight w:val="none"/>
          <w:u w:val="none"/>
        </w:rPr>
        <w:t>及经管理人与托管人核对确认的</w:t>
      </w:r>
      <w:r>
        <w:rPr>
          <w:rFonts w:hint="eastAsia"/>
          <w:color w:val="auto"/>
          <w:highlight w:val="none"/>
          <w:u w:val="none"/>
        </w:rPr>
        <w:t>核算</w:t>
      </w:r>
      <w:r>
        <w:rPr>
          <w:color w:val="auto"/>
          <w:highlight w:val="none"/>
          <w:u w:val="none"/>
        </w:rPr>
        <w:t>估值结果为根据。</w:t>
      </w:r>
    </w:p>
    <w:p>
      <w:pPr>
        <w:pStyle w:val="4"/>
        <w:snapToGrid/>
        <w:spacing w:beforeLines="100" w:afterLines="50"/>
        <w:rPr>
          <w:rFonts w:ascii="楷体" w:hAnsi="楷体" w:eastAsia="楷体"/>
          <w:color w:val="auto"/>
          <w:sz w:val="24"/>
          <w:highlight w:val="none"/>
          <w:u w:val="none"/>
        </w:rPr>
      </w:pPr>
      <w:bookmarkStart w:id="53" w:name="_Toc482974541"/>
      <w:bookmarkStart w:id="54" w:name="_Toc194741917"/>
      <w:bookmarkStart w:id="55" w:name="_Toc260056790"/>
      <w:r>
        <w:rPr>
          <w:rFonts w:ascii="楷体" w:hAnsi="楷体" w:eastAsia="楷体"/>
          <w:color w:val="auto"/>
          <w:sz w:val="24"/>
          <w:highlight w:val="none"/>
          <w:u w:val="none"/>
        </w:rPr>
        <w:t>第十</w:t>
      </w:r>
      <w:r>
        <w:rPr>
          <w:rFonts w:hint="eastAsia" w:ascii="楷体" w:hAnsi="楷体" w:eastAsia="楷体"/>
          <w:color w:val="auto"/>
          <w:sz w:val="24"/>
          <w:highlight w:val="none"/>
          <w:u w:val="none"/>
        </w:rPr>
        <w:t>七</w:t>
      </w:r>
      <w:r>
        <w:rPr>
          <w:rFonts w:ascii="楷体" w:hAnsi="楷体" w:eastAsia="楷体"/>
          <w:color w:val="auto"/>
          <w:sz w:val="24"/>
          <w:highlight w:val="none"/>
          <w:u w:val="none"/>
        </w:rPr>
        <w:t>节基金财产的估值和会计核算</w:t>
      </w:r>
      <w:bookmarkEnd w:id="53"/>
      <w:bookmarkEnd w:id="54"/>
      <w:bookmarkEnd w:id="55"/>
    </w:p>
    <w:p>
      <w:pPr>
        <w:pStyle w:val="81"/>
        <w:rPr>
          <w:color w:val="auto"/>
          <w:highlight w:val="none"/>
          <w:u w:val="none"/>
        </w:rPr>
      </w:pPr>
      <w:r>
        <w:rPr>
          <w:color w:val="auto"/>
          <w:szCs w:val="21"/>
          <w:highlight w:val="none"/>
          <w:u w:val="none"/>
        </w:rPr>
        <w:t>(</w:t>
      </w:r>
      <w:r>
        <w:rPr>
          <w:rFonts w:hint="eastAsia"/>
          <w:color w:val="auto"/>
          <w:szCs w:val="21"/>
          <w:highlight w:val="none"/>
          <w:u w:val="none"/>
        </w:rPr>
        <w:t>一</w:t>
      </w:r>
      <w:r>
        <w:rPr>
          <w:color w:val="auto"/>
          <w:szCs w:val="21"/>
          <w:highlight w:val="none"/>
          <w:u w:val="none"/>
        </w:rPr>
        <w:t>)基金财产的估值</w:t>
      </w:r>
    </w:p>
    <w:p>
      <w:pPr>
        <w:pStyle w:val="81"/>
        <w:rPr>
          <w:color w:val="auto"/>
          <w:highlight w:val="none"/>
          <w:u w:val="none"/>
        </w:rPr>
      </w:pPr>
      <w:r>
        <w:rPr>
          <w:color w:val="auto"/>
          <w:szCs w:val="21"/>
          <w:highlight w:val="none"/>
          <w:u w:val="none"/>
        </w:rPr>
        <w:t>1.估值目的</w:t>
      </w:r>
    </w:p>
    <w:p>
      <w:pPr>
        <w:pStyle w:val="81"/>
        <w:rPr>
          <w:color w:val="auto"/>
          <w:highlight w:val="none"/>
          <w:u w:val="none"/>
        </w:rPr>
      </w:pPr>
      <w:r>
        <w:rPr>
          <w:color w:val="auto"/>
          <w:szCs w:val="21"/>
          <w:highlight w:val="none"/>
          <w:u w:val="none"/>
        </w:rPr>
        <w:t>基金财产估值目的是客观、准确地反映基金财产的价值。</w:t>
      </w:r>
    </w:p>
    <w:p>
      <w:pPr>
        <w:pStyle w:val="81"/>
        <w:rPr>
          <w:color w:val="auto"/>
          <w:highlight w:val="none"/>
          <w:u w:val="none"/>
        </w:rPr>
      </w:pPr>
      <w:r>
        <w:rPr>
          <w:color w:val="auto"/>
          <w:szCs w:val="21"/>
          <w:highlight w:val="none"/>
          <w:u w:val="none"/>
        </w:rPr>
        <w:t>2.估值</w:t>
      </w:r>
      <w:r>
        <w:rPr>
          <w:rFonts w:hint="eastAsia"/>
          <w:color w:val="auto"/>
          <w:szCs w:val="21"/>
          <w:highlight w:val="none"/>
          <w:u w:val="none"/>
        </w:rPr>
        <w:t>时间</w:t>
      </w:r>
    </w:p>
    <w:p>
      <w:pPr>
        <w:pStyle w:val="81"/>
        <w:rPr>
          <w:color w:val="auto"/>
          <w:highlight w:val="none"/>
          <w:u w:val="none"/>
        </w:rPr>
      </w:pPr>
      <w:r>
        <w:rPr>
          <w:rFonts w:hint="eastAsia"/>
          <w:color w:val="auto"/>
          <w:szCs w:val="21"/>
          <w:highlight w:val="none"/>
          <w:u w:val="none"/>
        </w:rPr>
        <w:t>基金管理人与基金托管人对每个交易日的基金财产进行估值。本基金的估值核对日为每周最后一个工作日、开放日、收益分配基准日、基金终止日等。管理人、托管人应于估值核对日次工作日计算估值核对日的资产净值、</w:t>
      </w:r>
      <w:r>
        <w:rPr>
          <w:color w:val="auto"/>
          <w:szCs w:val="21"/>
          <w:highlight w:val="none"/>
          <w:u w:val="none"/>
        </w:rPr>
        <w:t>基金份额净值</w:t>
      </w:r>
      <w:r>
        <w:rPr>
          <w:rFonts w:hint="eastAsia"/>
          <w:color w:val="auto"/>
          <w:szCs w:val="21"/>
          <w:highlight w:val="none"/>
          <w:u w:val="none"/>
        </w:rPr>
        <w:t>。</w:t>
      </w:r>
    </w:p>
    <w:p>
      <w:pPr>
        <w:numPr>
          <w:ilvl w:val="0"/>
          <w:numId w:val="0"/>
        </w:numPr>
        <w:spacing w:line="360" w:lineRule="auto"/>
        <w:ind w:left="0" w:firstLine="420" w:firstLineChars="0"/>
        <w:rPr>
          <w:rFonts w:ascii="楷体" w:hAnsi="楷体" w:eastAsia="楷体"/>
          <w:color w:val="auto"/>
          <w:szCs w:val="21"/>
          <w:highlight w:val="none"/>
          <w:u w:val="none"/>
        </w:rPr>
      </w:pPr>
      <w:r>
        <w:rPr>
          <w:rFonts w:ascii="楷体" w:hAnsi="楷体" w:eastAsia="楷体"/>
          <w:color w:val="auto"/>
          <w:szCs w:val="21"/>
          <w:highlight w:val="none"/>
          <w:u w:val="none"/>
        </w:rPr>
        <w:t>3.估值依据</w:t>
      </w:r>
    </w:p>
    <w:p>
      <w:pPr>
        <w:pStyle w:val="81"/>
        <w:rPr>
          <w:color w:val="auto"/>
          <w:highlight w:val="none"/>
          <w:u w:val="none"/>
        </w:rPr>
      </w:pPr>
      <w:r>
        <w:rPr>
          <w:rFonts w:hint="eastAsia"/>
          <w:color w:val="auto"/>
          <w:szCs w:val="21"/>
          <w:highlight w:val="none"/>
          <w:u w:val="none"/>
        </w:rPr>
        <w:t>估值应符合本合同、《证券投资基金会计核算业务指引》及其他法律、法规的规定，如法律法规未做明确规定的，参照证券投资基金的行业通行做法处理。估值数据依据合法的数据来源独立取得。</w:t>
      </w:r>
    </w:p>
    <w:p>
      <w:pPr>
        <w:pStyle w:val="81"/>
        <w:rPr>
          <w:color w:val="auto"/>
          <w:highlight w:val="none"/>
          <w:u w:val="none"/>
        </w:rPr>
      </w:pPr>
      <w:r>
        <w:rPr>
          <w:color w:val="auto"/>
          <w:szCs w:val="21"/>
          <w:highlight w:val="none"/>
          <w:u w:val="none"/>
        </w:rPr>
        <w:t>4.估值对象</w:t>
      </w:r>
    </w:p>
    <w:p>
      <w:pPr>
        <w:pStyle w:val="81"/>
        <w:rPr>
          <w:color w:val="auto"/>
          <w:highlight w:val="none"/>
          <w:u w:val="none"/>
        </w:rPr>
      </w:pPr>
      <w:r>
        <w:rPr>
          <w:rFonts w:hint="eastAsia"/>
          <w:color w:val="auto"/>
          <w:szCs w:val="21"/>
          <w:highlight w:val="none"/>
          <w:u w:val="none"/>
        </w:rPr>
        <w:t>基金所拥有的股票、债券、基金和银行存款本息等资产及负债。</w:t>
      </w:r>
    </w:p>
    <w:p>
      <w:pPr>
        <w:pStyle w:val="81"/>
        <w:rPr>
          <w:color w:val="auto"/>
          <w:highlight w:val="none"/>
          <w:u w:val="none"/>
        </w:rPr>
      </w:pPr>
      <w:r>
        <w:rPr>
          <w:color w:val="auto"/>
          <w:szCs w:val="21"/>
          <w:highlight w:val="none"/>
          <w:u w:val="none"/>
        </w:rPr>
        <w:t>5.估值方法</w:t>
      </w:r>
    </w:p>
    <w:p>
      <w:pPr>
        <w:pStyle w:val="81"/>
        <w:rPr>
          <w:color w:val="auto"/>
          <w:highlight w:val="none"/>
          <w:u w:val="none"/>
        </w:rPr>
      </w:pPr>
      <w:r>
        <w:rPr>
          <w:rFonts w:hint="eastAsia"/>
          <w:color w:val="auto"/>
          <w:szCs w:val="21"/>
          <w:highlight w:val="none"/>
          <w:u w:val="none"/>
        </w:rPr>
        <w:t>（</w:t>
      </w:r>
      <w:r>
        <w:rPr>
          <w:color w:val="auto"/>
          <w:szCs w:val="21"/>
          <w:highlight w:val="none"/>
          <w:u w:val="none"/>
        </w:rPr>
        <w:t>1）</w:t>
      </w:r>
      <w:r>
        <w:rPr>
          <w:rFonts w:hint="eastAsia"/>
          <w:color w:val="auto"/>
          <w:szCs w:val="21"/>
          <w:highlight w:val="none"/>
          <w:u w:val="none"/>
        </w:rPr>
        <w:t>银行存款每日计提应收利息，按本金加应收利息计入资产。</w:t>
      </w:r>
    </w:p>
    <w:p>
      <w:pPr>
        <w:pStyle w:val="81"/>
        <w:rPr>
          <w:color w:val="auto"/>
          <w:highlight w:val="none"/>
          <w:u w:val="none"/>
        </w:rPr>
      </w:pPr>
      <w:r>
        <w:rPr>
          <w:rFonts w:hint="eastAsia"/>
          <w:color w:val="auto"/>
          <w:szCs w:val="21"/>
          <w:highlight w:val="none"/>
          <w:u w:val="none"/>
        </w:rPr>
        <w:t>（</w:t>
      </w:r>
      <w:r>
        <w:rPr>
          <w:color w:val="auto"/>
          <w:szCs w:val="21"/>
          <w:highlight w:val="none"/>
          <w:u w:val="none"/>
        </w:rPr>
        <w:t>2）</w:t>
      </w:r>
      <w:r>
        <w:rPr>
          <w:rFonts w:hint="eastAsia"/>
          <w:color w:val="auto"/>
          <w:szCs w:val="21"/>
          <w:highlight w:val="none"/>
          <w:u w:val="none"/>
        </w:rPr>
        <w:t>证券交易所上市的有价证券的估值</w:t>
      </w:r>
    </w:p>
    <w:p>
      <w:pPr>
        <w:pStyle w:val="81"/>
        <w:rPr>
          <w:color w:val="auto"/>
          <w:highlight w:val="none"/>
          <w:u w:val="none"/>
        </w:rPr>
      </w:pPr>
      <w:r>
        <w:rPr>
          <w:color w:val="auto"/>
          <w:szCs w:val="21"/>
          <w:highlight w:val="none"/>
          <w:u w:val="none"/>
        </w:rPr>
        <w:t>A.</w:t>
      </w:r>
      <w:r>
        <w:rPr>
          <w:rFonts w:hint="eastAsia"/>
          <w:color w:val="auto"/>
          <w:szCs w:val="21"/>
          <w:highlight w:val="none"/>
          <w:u w:val="none"/>
        </w:rPr>
        <w:t>交易所上市的有价证券（包括股票、权证等），以其估值日在证券交易所挂牌的市价（收盘价）估值；估值日无交易的，且最近工作日后经济环境未发生重大变化，以最近工作日的市价（收盘价）估值；如最近工作日后经济环境发生了重大变化的，可参考类似投资品种的现行市价及重大变化因素，调整最近交易市价，确定公允价格；针对该产品所持停牌股票，默认采用停牌价进行估值处理，若因停牌后经济环境发生重大变化且对基金产品净值影响较大，需更改估值方法的，则协商后另行约定；</w:t>
      </w:r>
    </w:p>
    <w:p>
      <w:pPr>
        <w:pStyle w:val="47"/>
        <w:numPr>
          <w:ilvl w:val="0"/>
          <w:numId w:val="0"/>
        </w:numPr>
        <w:spacing w:line="360" w:lineRule="auto"/>
        <w:ind w:left="0" w:firstLine="420" w:firstLineChars="0"/>
        <w:rPr>
          <w:rFonts w:ascii="楷体" w:hAnsi="楷体" w:eastAsia="楷体"/>
          <w:color w:val="auto"/>
          <w:szCs w:val="21"/>
          <w:highlight w:val="none"/>
          <w:u w:val="none"/>
        </w:rPr>
      </w:pPr>
      <w:r>
        <w:rPr>
          <w:rFonts w:ascii="楷体" w:hAnsi="楷体" w:eastAsia="楷体"/>
          <w:color w:val="auto"/>
          <w:szCs w:val="21"/>
          <w:highlight w:val="none"/>
          <w:u w:val="none"/>
        </w:rPr>
        <w:t>B.</w:t>
      </w:r>
      <w:r>
        <w:rPr>
          <w:rFonts w:hint="eastAsia" w:ascii="楷体" w:hAnsi="楷体" w:eastAsia="楷体"/>
          <w:color w:val="auto"/>
          <w:szCs w:val="21"/>
          <w:highlight w:val="none"/>
          <w:u w:val="none"/>
        </w:rPr>
        <w:t>交易所上市实行净价交易的债券按估值日收盘价估值，估值日没有交易的，且最近工作日后经济环境未发生重大变化，按最近工作日的收盘价估值。如最近工作日后经济环境发生了重大变化的，可参考类似投资品种的现行市价及重大变化因素，调整最近交易市价，确定公允价格；</w:t>
      </w:r>
    </w:p>
    <w:p>
      <w:pPr>
        <w:pStyle w:val="81"/>
        <w:rPr>
          <w:color w:val="auto"/>
          <w:highlight w:val="none"/>
          <w:u w:val="none"/>
        </w:rPr>
      </w:pPr>
      <w:r>
        <w:rPr>
          <w:color w:val="auto"/>
          <w:szCs w:val="21"/>
          <w:highlight w:val="none"/>
          <w:u w:val="none"/>
        </w:rPr>
        <w:t>C.</w:t>
      </w:r>
      <w:r>
        <w:rPr>
          <w:rFonts w:hint="eastAsia"/>
          <w:color w:val="auto"/>
          <w:szCs w:val="21"/>
          <w:highlight w:val="none"/>
          <w:u w:val="none"/>
        </w:rPr>
        <w:t>交易所上市未实行净价交易的债券按估值日收盘价减去债券收盘价中所含的债券应收利息得到的净价进行估值；估值日没有交易的，且最近工作日后经济环境未发生重大变化，按最近工作日债券收盘价减去债券收盘价中所含的债券应收利息得到的净价进行估值。如最近工作日后经济环境发生了重大变化的，可参考类似投资品种的现行市价及重大变化因素，调整最近交易市价，确定公允价格；</w:t>
      </w:r>
    </w:p>
    <w:p>
      <w:pPr>
        <w:pStyle w:val="81"/>
        <w:rPr>
          <w:color w:val="auto"/>
          <w:highlight w:val="none"/>
          <w:u w:val="none"/>
        </w:rPr>
      </w:pPr>
      <w:r>
        <w:rPr>
          <w:color w:val="auto"/>
          <w:szCs w:val="21"/>
          <w:highlight w:val="none"/>
          <w:u w:val="none"/>
        </w:rPr>
        <w:t>D.</w:t>
      </w:r>
      <w:r>
        <w:rPr>
          <w:rFonts w:hint="eastAsia"/>
          <w:color w:val="auto"/>
          <w:szCs w:val="21"/>
          <w:highlight w:val="none"/>
          <w:u w:val="none"/>
        </w:rPr>
        <w:t>交易所上市不存在活跃市场的其他有价证券，采用估值技术确定公允价值，在估值技术难以可靠计量公允价值的情况下，按成本估值；</w:t>
      </w:r>
    </w:p>
    <w:p>
      <w:pPr>
        <w:pStyle w:val="81"/>
        <w:rPr>
          <w:color w:val="auto"/>
          <w:highlight w:val="none"/>
          <w:u w:val="none"/>
        </w:rPr>
      </w:pPr>
      <w:r>
        <w:rPr>
          <w:color w:val="auto"/>
          <w:szCs w:val="21"/>
          <w:highlight w:val="none"/>
          <w:u w:val="none"/>
        </w:rPr>
        <w:t>E.</w:t>
      </w:r>
      <w:r>
        <w:rPr>
          <w:rFonts w:hint="eastAsia"/>
          <w:color w:val="auto"/>
          <w:szCs w:val="21"/>
          <w:highlight w:val="none"/>
          <w:u w:val="none"/>
        </w:rPr>
        <w:t>交易所上市的资产支持证券，采用估值技术确定公允价值，在估值技术难以可靠计量公允价值的情况下，按成本估值。</w:t>
      </w:r>
    </w:p>
    <w:p>
      <w:pPr>
        <w:pStyle w:val="81"/>
        <w:rPr>
          <w:color w:val="auto"/>
          <w:highlight w:val="none"/>
          <w:u w:val="none"/>
        </w:rPr>
      </w:pPr>
      <w:r>
        <w:rPr>
          <w:rFonts w:hint="eastAsia"/>
          <w:color w:val="auto"/>
          <w:szCs w:val="21"/>
          <w:highlight w:val="none"/>
          <w:u w:val="none"/>
        </w:rPr>
        <w:t>（</w:t>
      </w:r>
      <w:r>
        <w:rPr>
          <w:color w:val="auto"/>
          <w:szCs w:val="21"/>
          <w:highlight w:val="none"/>
          <w:u w:val="none"/>
        </w:rPr>
        <w:t>3）</w:t>
      </w:r>
      <w:r>
        <w:rPr>
          <w:rFonts w:hint="eastAsia"/>
          <w:color w:val="auto"/>
          <w:szCs w:val="21"/>
          <w:highlight w:val="none"/>
          <w:u w:val="none"/>
        </w:rPr>
        <w:t>处于未上市期间的有价证券应区分如下情况处理：</w:t>
      </w:r>
    </w:p>
    <w:p>
      <w:pPr>
        <w:pStyle w:val="81"/>
        <w:rPr>
          <w:color w:val="auto"/>
          <w:highlight w:val="none"/>
          <w:u w:val="none"/>
        </w:rPr>
      </w:pPr>
      <w:r>
        <w:rPr>
          <w:color w:val="auto"/>
          <w:szCs w:val="21"/>
          <w:highlight w:val="none"/>
          <w:u w:val="none"/>
        </w:rPr>
        <w:t>A.</w:t>
      </w:r>
      <w:r>
        <w:rPr>
          <w:rFonts w:hint="eastAsia"/>
          <w:color w:val="auto"/>
          <w:szCs w:val="21"/>
          <w:highlight w:val="none"/>
          <w:u w:val="none"/>
        </w:rPr>
        <w:t>送股、转增股、配股和公开增发的新股，按估值日在证券交易所挂牌的同一股票的估值方法估值；</w:t>
      </w:r>
    </w:p>
    <w:p>
      <w:pPr>
        <w:pStyle w:val="81"/>
        <w:rPr>
          <w:color w:val="auto"/>
          <w:highlight w:val="none"/>
          <w:u w:val="none"/>
        </w:rPr>
      </w:pPr>
      <w:r>
        <w:rPr>
          <w:color w:val="auto"/>
          <w:szCs w:val="21"/>
          <w:highlight w:val="none"/>
          <w:u w:val="none"/>
        </w:rPr>
        <w:t>B.</w:t>
      </w:r>
      <w:r>
        <w:rPr>
          <w:rFonts w:hint="eastAsia"/>
          <w:color w:val="auto"/>
          <w:szCs w:val="21"/>
          <w:highlight w:val="none"/>
          <w:u w:val="none"/>
        </w:rPr>
        <w:t>首次公开发行未上市的股票、债券和权证，采用估值技术确定公允价值，在估值技术难以可靠计量公允价值的情况下，按成本估值；</w:t>
      </w:r>
    </w:p>
    <w:p>
      <w:pPr>
        <w:pStyle w:val="81"/>
        <w:rPr>
          <w:color w:val="auto"/>
          <w:highlight w:val="none"/>
          <w:u w:val="none"/>
        </w:rPr>
      </w:pPr>
      <w:r>
        <w:rPr>
          <w:color w:val="auto"/>
          <w:szCs w:val="21"/>
          <w:highlight w:val="none"/>
          <w:u w:val="none"/>
        </w:rPr>
        <w:t>C.</w:t>
      </w:r>
      <w:r>
        <w:rPr>
          <w:rFonts w:hint="eastAsia"/>
          <w:color w:val="auto"/>
          <w:szCs w:val="21"/>
          <w:highlight w:val="none"/>
          <w:u w:val="none"/>
        </w:rPr>
        <w:t>首次公开发行有明确锁定期的股票，同一股票在交易所上市后，按交易所上市的同一股票的估值方法估值；非公开发行有明确锁定期的股票，按监管机构或行业协会有关规定确定公允价值。</w:t>
      </w:r>
    </w:p>
    <w:p>
      <w:pPr>
        <w:pStyle w:val="81"/>
        <w:rPr>
          <w:color w:val="auto"/>
          <w:highlight w:val="none"/>
          <w:u w:val="none"/>
        </w:rPr>
      </w:pPr>
      <w:r>
        <w:rPr>
          <w:rFonts w:hint="eastAsia"/>
          <w:color w:val="auto"/>
          <w:szCs w:val="21"/>
          <w:highlight w:val="none"/>
          <w:u w:val="none"/>
        </w:rPr>
        <w:t>（</w:t>
      </w:r>
      <w:r>
        <w:rPr>
          <w:color w:val="auto"/>
          <w:szCs w:val="21"/>
          <w:highlight w:val="none"/>
          <w:u w:val="none"/>
        </w:rPr>
        <w:t>4）</w:t>
      </w:r>
      <w:r>
        <w:rPr>
          <w:rFonts w:hint="eastAsia"/>
          <w:color w:val="auto"/>
          <w:szCs w:val="21"/>
          <w:highlight w:val="none"/>
          <w:u w:val="none"/>
        </w:rPr>
        <w:t>证券投资基金估值方法：</w:t>
      </w:r>
    </w:p>
    <w:p>
      <w:pPr>
        <w:pStyle w:val="81"/>
        <w:rPr>
          <w:color w:val="auto"/>
          <w:highlight w:val="none"/>
          <w:u w:val="none"/>
        </w:rPr>
      </w:pPr>
      <w:r>
        <w:rPr>
          <w:color w:val="auto"/>
          <w:szCs w:val="21"/>
          <w:highlight w:val="none"/>
          <w:u w:val="none"/>
        </w:rPr>
        <w:t>A.</w:t>
      </w:r>
      <w:r>
        <w:rPr>
          <w:rFonts w:hint="eastAsia"/>
          <w:color w:val="auto"/>
          <w:szCs w:val="21"/>
          <w:highlight w:val="none"/>
          <w:u w:val="none"/>
        </w:rPr>
        <w:t>上市流通的证券投资基金按估值日其所在证券交易所的收盘价估值；估值日无交易的，以最近一个工作日的收盘价估值；</w:t>
      </w:r>
    </w:p>
    <w:p>
      <w:pPr>
        <w:pStyle w:val="81"/>
        <w:rPr>
          <w:color w:val="auto"/>
          <w:highlight w:val="none"/>
          <w:u w:val="none"/>
        </w:rPr>
      </w:pPr>
      <w:r>
        <w:rPr>
          <w:color w:val="auto"/>
          <w:szCs w:val="21"/>
          <w:highlight w:val="none"/>
          <w:u w:val="none"/>
        </w:rPr>
        <w:t>B.</w:t>
      </w:r>
      <w:r>
        <w:rPr>
          <w:rFonts w:hint="eastAsia"/>
          <w:color w:val="auto"/>
          <w:szCs w:val="21"/>
          <w:highlight w:val="none"/>
          <w:u w:val="none"/>
        </w:rPr>
        <w:t>场外认购或申购的开放式基金（包括托管在场外的上市开放式基金（</w:t>
      </w:r>
      <w:r>
        <w:rPr>
          <w:color w:val="auto"/>
          <w:szCs w:val="21"/>
          <w:highlight w:val="none"/>
          <w:u w:val="none"/>
        </w:rPr>
        <w:t>LOF））以估值日前</w:t>
      </w:r>
      <w:r>
        <w:rPr>
          <w:rFonts w:hint="eastAsia"/>
          <w:color w:val="auto"/>
          <w:szCs w:val="21"/>
          <w:highlight w:val="none"/>
          <w:u w:val="none"/>
        </w:rPr>
        <w:t>一工作日基金净值估值，估值日前一工作日开放式基金份额净值未公布的，以此前最近一个工作日基金净值计算。货币基金以成本估值，每日按前一工作日的万份收益计提红利。</w:t>
      </w:r>
    </w:p>
    <w:p>
      <w:pPr>
        <w:pStyle w:val="81"/>
        <w:rPr>
          <w:color w:val="auto"/>
          <w:highlight w:val="none"/>
          <w:u w:val="none"/>
        </w:rPr>
      </w:pPr>
      <w:r>
        <w:rPr>
          <w:rFonts w:hint="eastAsia"/>
          <w:color w:val="auto"/>
          <w:szCs w:val="21"/>
          <w:highlight w:val="none"/>
          <w:u w:val="none"/>
        </w:rPr>
        <w:t>（</w:t>
      </w:r>
      <w:r>
        <w:rPr>
          <w:color w:val="auto"/>
          <w:szCs w:val="21"/>
          <w:highlight w:val="none"/>
          <w:u w:val="none"/>
        </w:rPr>
        <w:t>5）</w:t>
      </w:r>
      <w:r>
        <w:rPr>
          <w:rFonts w:hint="eastAsia"/>
          <w:color w:val="auto"/>
          <w:szCs w:val="21"/>
          <w:highlight w:val="none"/>
          <w:u w:val="none"/>
        </w:rPr>
        <w:t>固定收益类产品，按照固定收益率每日计提收益；定期公布份额净值的产品，按该产品管理人于估值日前一工作日公布的份额净值进行估值，估值日前一工作日份额净值未公布的，以该产品管理人公布的此前最近一个工作日份额净值计算；既无固定收益率，也不定期公布份额净值的，按成本估值。</w:t>
      </w:r>
    </w:p>
    <w:p>
      <w:pPr>
        <w:pStyle w:val="81"/>
        <w:rPr>
          <w:color w:val="auto"/>
          <w:highlight w:val="none"/>
          <w:u w:val="none"/>
        </w:rPr>
      </w:pPr>
      <w:r>
        <w:rPr>
          <w:rFonts w:hint="eastAsia"/>
          <w:color w:val="auto"/>
          <w:szCs w:val="21"/>
          <w:highlight w:val="none"/>
          <w:u w:val="none"/>
        </w:rPr>
        <w:t>（</w:t>
      </w:r>
      <w:r>
        <w:rPr>
          <w:color w:val="auto"/>
          <w:szCs w:val="21"/>
          <w:highlight w:val="none"/>
          <w:u w:val="none"/>
        </w:rPr>
        <w:t>6）</w:t>
      </w:r>
      <w:r>
        <w:rPr>
          <w:rFonts w:hint="eastAsia"/>
          <w:color w:val="auto"/>
          <w:szCs w:val="21"/>
          <w:highlight w:val="none"/>
          <w:u w:val="none"/>
        </w:rPr>
        <w:t>持有回购以成本列示，按商定利率在回购期间内逐日计提应收利息。</w:t>
      </w:r>
    </w:p>
    <w:p>
      <w:pPr>
        <w:pStyle w:val="81"/>
        <w:rPr>
          <w:color w:val="auto"/>
          <w:highlight w:val="none"/>
          <w:u w:val="none"/>
        </w:rPr>
      </w:pPr>
      <w:r>
        <w:rPr>
          <w:rFonts w:hint="eastAsia"/>
          <w:color w:val="auto"/>
          <w:szCs w:val="21"/>
          <w:highlight w:val="none"/>
          <w:u w:val="none"/>
        </w:rPr>
        <w:t>（</w:t>
      </w:r>
      <w:r>
        <w:rPr>
          <w:color w:val="auto"/>
          <w:szCs w:val="21"/>
          <w:highlight w:val="none"/>
          <w:u w:val="none"/>
        </w:rPr>
        <w:t>7）</w:t>
      </w:r>
      <w:r>
        <w:rPr>
          <w:rFonts w:hint="eastAsia"/>
          <w:color w:val="auto"/>
          <w:szCs w:val="21"/>
          <w:highlight w:val="none"/>
          <w:u w:val="none"/>
        </w:rPr>
        <w:t>配股权证，从配股除权日起到配股确认日止，按收盘价高于配股价的差额估值；如果收盘价低于配股价，则估值增值额为零。</w:t>
      </w:r>
    </w:p>
    <w:p>
      <w:pPr>
        <w:pStyle w:val="81"/>
        <w:rPr>
          <w:color w:val="auto"/>
          <w:highlight w:val="none"/>
          <w:u w:val="none"/>
        </w:rPr>
      </w:pPr>
      <w:r>
        <w:rPr>
          <w:rFonts w:hint="eastAsia"/>
          <w:color w:val="auto"/>
          <w:szCs w:val="21"/>
          <w:highlight w:val="none"/>
          <w:u w:val="none"/>
        </w:rPr>
        <w:t>（</w:t>
      </w:r>
      <w:r>
        <w:rPr>
          <w:color w:val="auto"/>
          <w:szCs w:val="21"/>
          <w:highlight w:val="none"/>
          <w:u w:val="none"/>
        </w:rPr>
        <w:t>8）</w:t>
      </w:r>
      <w:r>
        <w:rPr>
          <w:rFonts w:hint="eastAsia"/>
          <w:color w:val="auto"/>
          <w:szCs w:val="21"/>
          <w:highlight w:val="none"/>
          <w:u w:val="none"/>
        </w:rPr>
        <w:t>融资融券业务的估值核算方法，经管理人和托管人协商一致，按最能反应该类资产公允价值的方法估值。</w:t>
      </w:r>
    </w:p>
    <w:p>
      <w:pPr>
        <w:pStyle w:val="81"/>
        <w:rPr>
          <w:color w:val="auto"/>
          <w:szCs w:val="21"/>
          <w:highlight w:val="none"/>
          <w:u w:val="none"/>
        </w:rPr>
      </w:pPr>
      <w:r>
        <w:rPr>
          <w:rFonts w:hint="eastAsia"/>
          <w:color w:val="auto"/>
          <w:szCs w:val="21"/>
          <w:highlight w:val="none"/>
          <w:u w:val="none"/>
        </w:rPr>
        <w:t>（</w:t>
      </w:r>
      <w:r>
        <w:rPr>
          <w:color w:val="auto"/>
          <w:szCs w:val="21"/>
          <w:highlight w:val="none"/>
          <w:u w:val="none"/>
        </w:rPr>
        <w:t>9）</w:t>
      </w:r>
      <w:r>
        <w:rPr>
          <w:rFonts w:hint="eastAsia"/>
          <w:color w:val="auto"/>
          <w:szCs w:val="21"/>
          <w:highlight w:val="none"/>
          <w:u w:val="none"/>
        </w:rPr>
        <w:t>如存在上述估值约定未覆盖的投资品种，管理人可根据具体情况，在与托管人商议后，按最能反映该投资品种公允价值的方法估值。</w:t>
      </w:r>
    </w:p>
    <w:p>
      <w:pPr>
        <w:pStyle w:val="81"/>
        <w:rPr>
          <w:color w:val="auto"/>
          <w:szCs w:val="21"/>
          <w:highlight w:val="none"/>
          <w:u w:val="none"/>
        </w:rPr>
      </w:pPr>
      <w:r>
        <w:rPr>
          <w:rFonts w:hint="eastAsia"/>
          <w:color w:val="auto"/>
          <w:szCs w:val="21"/>
          <w:highlight w:val="none"/>
          <w:u w:val="none"/>
        </w:rPr>
        <w:t>如有确凿证据表明按上述方法进行估值不能客观反映其公允价值的，管理人可根据具体情况与托管人商定后，按最能反映公允价值的价格估值。</w:t>
      </w:r>
    </w:p>
    <w:p>
      <w:pPr>
        <w:pStyle w:val="81"/>
        <w:rPr>
          <w:color w:val="auto"/>
          <w:szCs w:val="21"/>
          <w:highlight w:val="none"/>
          <w:u w:val="none"/>
        </w:rPr>
      </w:pPr>
      <w:r>
        <w:rPr>
          <w:rFonts w:hint="eastAsia"/>
          <w:color w:val="auto"/>
          <w:szCs w:val="21"/>
          <w:highlight w:val="none"/>
          <w:u w:val="none"/>
        </w:rPr>
        <w:t>因核算估值需要的其他相关信息，若托管人和外包服务机构无法公开取得，应由管理人负责向托管人和外包服务机构提供，若无法提供，管理人应与托管人和外包服务机构协商解决方案。因管理人未及时提供或协商出解决方案影响估值结果的，托管人和外包服务机构不承担责任。</w:t>
      </w:r>
    </w:p>
    <w:p>
      <w:pPr>
        <w:pStyle w:val="81"/>
        <w:rPr>
          <w:color w:val="auto"/>
          <w:szCs w:val="21"/>
          <w:highlight w:val="none"/>
          <w:u w:val="none"/>
        </w:rPr>
      </w:pPr>
      <w:r>
        <w:rPr>
          <w:rFonts w:hint="eastAsia"/>
          <w:color w:val="auto"/>
          <w:szCs w:val="21"/>
          <w:highlight w:val="none"/>
          <w:u w:val="none"/>
        </w:rPr>
        <w:t>相关法律法规以及监管部门有强制规定的，从其规定。如有新增事项，按国家最新规定估值。</w:t>
      </w:r>
    </w:p>
    <w:p>
      <w:pPr>
        <w:pStyle w:val="81"/>
        <w:rPr>
          <w:color w:val="auto"/>
          <w:highlight w:val="none"/>
          <w:u w:val="none"/>
        </w:rPr>
      </w:pPr>
      <w:r>
        <w:rPr>
          <w:color w:val="auto"/>
          <w:szCs w:val="21"/>
          <w:highlight w:val="none"/>
          <w:u w:val="none"/>
        </w:rPr>
        <w:t>6.估值程序</w:t>
      </w:r>
    </w:p>
    <w:p>
      <w:pPr>
        <w:pStyle w:val="81"/>
        <w:rPr>
          <w:color w:val="auto"/>
          <w:highlight w:val="none"/>
          <w:u w:val="none"/>
        </w:rPr>
      </w:pPr>
      <w:r>
        <w:rPr>
          <w:rFonts w:hint="eastAsia"/>
          <w:color w:val="auto"/>
          <w:szCs w:val="21"/>
          <w:highlight w:val="none"/>
          <w:u w:val="none"/>
        </w:rPr>
        <w:t>管理人于每个估值核对日的次工作日计算估值核对日的基金财产净值、</w:t>
      </w:r>
      <w:r>
        <w:rPr>
          <w:color w:val="auto"/>
          <w:highlight w:val="none"/>
          <w:u w:val="none"/>
        </w:rPr>
        <w:t>基金份额净值</w:t>
      </w:r>
      <w:r>
        <w:rPr>
          <w:rFonts w:hint="eastAsia"/>
          <w:color w:val="auto"/>
          <w:szCs w:val="21"/>
          <w:highlight w:val="none"/>
          <w:u w:val="none"/>
        </w:rPr>
        <w:t>并以传真方式或其他管理人和托管人认可的方式发送给托管人。托管人对净值计算结果复核后盖章并以传真方式或其他管理人和托管人认可的方式传送给管理人。</w:t>
      </w:r>
    </w:p>
    <w:p>
      <w:pPr>
        <w:pStyle w:val="81"/>
        <w:rPr>
          <w:color w:val="auto"/>
          <w:highlight w:val="none"/>
          <w:u w:val="none"/>
        </w:rPr>
      </w:pPr>
      <w:r>
        <w:rPr>
          <w:color w:val="auto"/>
          <w:szCs w:val="21"/>
          <w:highlight w:val="none"/>
          <w:u w:val="none"/>
        </w:rPr>
        <w:t>7.估值错误的处理</w:t>
      </w:r>
    </w:p>
    <w:p>
      <w:pPr>
        <w:pStyle w:val="81"/>
        <w:rPr>
          <w:color w:val="auto"/>
          <w:highlight w:val="none"/>
          <w:u w:val="none"/>
        </w:rPr>
      </w:pPr>
      <w:r>
        <w:rPr>
          <w:color w:val="auto"/>
          <w:szCs w:val="21"/>
          <w:highlight w:val="none"/>
          <w:u w:val="none"/>
        </w:rPr>
        <w:t>如管理人或托管人发现基金资产估值违反本合同订明的估值方法、程序及相关法律法规的规定或者未能充分维护投资者利益时，应立即通知对方，共同查明原因，协商解决。</w:t>
      </w:r>
    </w:p>
    <w:p>
      <w:pPr>
        <w:pStyle w:val="81"/>
        <w:rPr>
          <w:color w:val="auto"/>
          <w:highlight w:val="none"/>
          <w:u w:val="none"/>
        </w:rPr>
      </w:pPr>
      <w:r>
        <w:rPr>
          <w:color w:val="auto"/>
          <w:szCs w:val="21"/>
          <w:highlight w:val="none"/>
          <w:u w:val="none"/>
        </w:rPr>
        <w:t>当基金资产估值出现错误时，管理人和托管人应当立即予以纠正，并采取合理的措施防止损失进一步扩大。当基金资产估值错误偏差达到基金财产净值的0.5%时，管理人应该立即报告投资者，并说明采取的措施，立即更正。如管理人和托管人对基金资产净值的计算结果，虽然多次重新计算和核对尚不能达成一致时，为避免不能按时披露基金资产净值的情形，以管理人的计算结果对外披露，由此给投资者和基金财产造成的损失，托管人予以免责。</w:t>
      </w:r>
    </w:p>
    <w:p>
      <w:pPr>
        <w:pStyle w:val="81"/>
        <w:rPr>
          <w:color w:val="auto"/>
          <w:highlight w:val="none"/>
          <w:u w:val="none"/>
        </w:rPr>
      </w:pPr>
      <w:r>
        <w:rPr>
          <w:color w:val="auto"/>
          <w:szCs w:val="21"/>
          <w:highlight w:val="none"/>
          <w:u w:val="none"/>
        </w:rPr>
        <w:t>估值错误的责任人应当且仅对由于该估值错误遭受损失的直接当事人的直接损失承担赔偿责任。因估值错误而获得不当得利的当事人负有及时返还不当得利的义务。</w:t>
      </w:r>
    </w:p>
    <w:p>
      <w:pPr>
        <w:pStyle w:val="81"/>
        <w:rPr>
          <w:color w:val="auto"/>
          <w:highlight w:val="none"/>
          <w:u w:val="none"/>
        </w:rPr>
      </w:pPr>
      <w:r>
        <w:rPr>
          <w:color w:val="auto"/>
          <w:szCs w:val="21"/>
          <w:highlight w:val="none"/>
          <w:u w:val="none"/>
        </w:rPr>
        <w:t>由于一方当事人提供的信息错误，另一方当事人在采取了必要合理的措施后仍不能发现该错误，进而导致基金财产净值计算错误造成投资者的损失，以及由此造成以后估值核对日基金财产净值计算顺延错误而引起的投资者的损失，由提供错误信息的当事人一方负责赔偿。</w:t>
      </w:r>
    </w:p>
    <w:p>
      <w:pPr>
        <w:pStyle w:val="81"/>
        <w:rPr>
          <w:color w:val="auto"/>
          <w:highlight w:val="none"/>
          <w:u w:val="none"/>
        </w:rPr>
      </w:pPr>
      <w:r>
        <w:rPr>
          <w:color w:val="auto"/>
          <w:szCs w:val="21"/>
          <w:highlight w:val="none"/>
          <w:u w:val="none"/>
        </w:rPr>
        <w:t>8.暂停估值的情形</w:t>
      </w:r>
    </w:p>
    <w:p>
      <w:pPr>
        <w:pStyle w:val="81"/>
        <w:rPr>
          <w:rFonts w:ascii="楷体" w:hAnsi="楷体" w:eastAsia="楷体"/>
          <w:color w:val="auto"/>
          <w:szCs w:val="21"/>
          <w:highlight w:val="none"/>
          <w:u w:val="none"/>
        </w:rPr>
      </w:pPr>
      <w:r>
        <w:rPr>
          <w:rFonts w:hint="eastAsia"/>
          <w:color w:val="auto"/>
          <w:szCs w:val="21"/>
          <w:highlight w:val="none"/>
          <w:u w:val="none"/>
        </w:rPr>
        <w:t>（1）</w:t>
      </w:r>
      <w:r>
        <w:rPr>
          <w:color w:val="auto"/>
          <w:szCs w:val="21"/>
          <w:highlight w:val="none"/>
          <w:u w:val="none"/>
        </w:rPr>
        <w:t>基金管理人或基金托管人遇法定节假日或因其他原因暂停营业时；</w:t>
      </w:r>
    </w:p>
    <w:p>
      <w:pPr>
        <w:pStyle w:val="81"/>
        <w:rPr>
          <w:rFonts w:ascii="楷体" w:hAnsi="楷体" w:eastAsia="楷体"/>
          <w:color w:val="auto"/>
          <w:szCs w:val="21"/>
          <w:highlight w:val="none"/>
          <w:u w:val="none"/>
        </w:rPr>
      </w:pPr>
      <w:r>
        <w:rPr>
          <w:rFonts w:hint="eastAsia"/>
          <w:color w:val="auto"/>
          <w:szCs w:val="21"/>
          <w:highlight w:val="none"/>
          <w:u w:val="none"/>
        </w:rPr>
        <w:t>（2）</w:t>
      </w:r>
      <w:r>
        <w:rPr>
          <w:color w:val="auto"/>
          <w:szCs w:val="21"/>
          <w:highlight w:val="none"/>
          <w:u w:val="none"/>
        </w:rPr>
        <w:t>因不可抗力或其他情形致使管理人、托管人无法准确评估基金财产价值时；</w:t>
      </w:r>
    </w:p>
    <w:p>
      <w:pPr>
        <w:pStyle w:val="81"/>
        <w:rPr>
          <w:color w:val="auto"/>
          <w:szCs w:val="21"/>
          <w:highlight w:val="none"/>
          <w:u w:val="none"/>
        </w:rPr>
      </w:pPr>
      <w:r>
        <w:rPr>
          <w:rFonts w:hint="eastAsia"/>
          <w:color w:val="auto"/>
          <w:szCs w:val="21"/>
          <w:highlight w:val="none"/>
          <w:u w:val="none"/>
        </w:rPr>
        <w:t>（3）</w:t>
      </w:r>
      <w:r>
        <w:rPr>
          <w:color w:val="auto"/>
          <w:szCs w:val="21"/>
          <w:highlight w:val="none"/>
          <w:u w:val="none"/>
        </w:rPr>
        <w:t>中国证监会认定的其他情形。</w:t>
      </w:r>
    </w:p>
    <w:p>
      <w:pPr>
        <w:pStyle w:val="81"/>
        <w:rPr>
          <w:color w:val="auto"/>
          <w:szCs w:val="21"/>
          <w:highlight w:val="none"/>
          <w:u w:val="none"/>
        </w:rPr>
      </w:pPr>
      <w:r>
        <w:rPr>
          <w:color w:val="auto"/>
          <w:szCs w:val="21"/>
          <w:highlight w:val="none"/>
          <w:u w:val="none"/>
        </w:rPr>
        <w:t>9.特殊情况的处理</w:t>
      </w:r>
    </w:p>
    <w:p>
      <w:pPr>
        <w:pStyle w:val="81"/>
        <w:rPr>
          <w:color w:val="auto"/>
          <w:szCs w:val="21"/>
          <w:highlight w:val="none"/>
          <w:u w:val="none"/>
        </w:rPr>
      </w:pPr>
      <w:r>
        <w:rPr>
          <w:rFonts w:hint="eastAsia"/>
          <w:color w:val="auto"/>
          <w:szCs w:val="21"/>
          <w:highlight w:val="none"/>
          <w:u w:val="none"/>
        </w:rPr>
        <w:t>（1）</w:t>
      </w:r>
      <w:r>
        <w:rPr>
          <w:color w:val="auto"/>
          <w:szCs w:val="21"/>
          <w:highlight w:val="none"/>
          <w:u w:val="none"/>
        </w:rPr>
        <w:t>管理人按本合同约定的估值方法进行估值时，所造成的误差不作为估值错误处理。</w:t>
      </w:r>
    </w:p>
    <w:p>
      <w:pPr>
        <w:pStyle w:val="81"/>
        <w:rPr>
          <w:color w:val="auto"/>
          <w:szCs w:val="21"/>
          <w:highlight w:val="none"/>
          <w:u w:val="none"/>
        </w:rPr>
      </w:pPr>
      <w:r>
        <w:rPr>
          <w:rFonts w:hint="eastAsia"/>
          <w:color w:val="auto"/>
          <w:szCs w:val="21"/>
          <w:highlight w:val="none"/>
          <w:u w:val="none"/>
        </w:rPr>
        <w:t>（2）</w:t>
      </w:r>
      <w:r>
        <w:rPr>
          <w:color w:val="auto"/>
          <w:szCs w:val="21"/>
          <w:highlight w:val="none"/>
          <w:u w:val="none"/>
        </w:rPr>
        <w:t>由于不可抗力原因，或由于证券交易所、登记结算机构、注册登记机构等发送的数据错误，管理人和托管人虽然已经采取必要、适当、合理的措施进行检查，但未能发现错误的，由此造成的基金财产估值错误，管理人和托管人可以免除赔偿责任。但管理人和托管人应当积极采取必要的措施减轻或消除由此造成的影响。</w:t>
      </w:r>
    </w:p>
    <w:p>
      <w:pPr>
        <w:numPr>
          <w:ilvl w:val="0"/>
          <w:numId w:val="0"/>
        </w:numPr>
        <w:spacing w:line="360" w:lineRule="auto"/>
        <w:ind w:left="0" w:firstLine="420" w:firstLineChars="0"/>
        <w:rPr>
          <w:rFonts w:ascii="楷体" w:hAnsi="楷体" w:eastAsia="楷体"/>
          <w:color w:val="auto"/>
          <w:szCs w:val="21"/>
          <w:highlight w:val="none"/>
          <w:u w:val="none"/>
        </w:rPr>
      </w:pPr>
      <w:r>
        <w:rPr>
          <w:rFonts w:ascii="楷体" w:hAnsi="楷体" w:eastAsia="楷体"/>
          <w:color w:val="auto"/>
          <w:szCs w:val="21"/>
          <w:highlight w:val="none"/>
          <w:u w:val="none"/>
        </w:rPr>
        <w:t>(二)基金的会计政策</w:t>
      </w:r>
    </w:p>
    <w:p>
      <w:pPr>
        <w:pStyle w:val="81"/>
        <w:rPr>
          <w:color w:val="auto"/>
          <w:highlight w:val="none"/>
          <w:u w:val="none"/>
        </w:rPr>
      </w:pPr>
      <w:r>
        <w:rPr>
          <w:color w:val="auto"/>
          <w:szCs w:val="21"/>
          <w:highlight w:val="none"/>
          <w:u w:val="none"/>
        </w:rPr>
        <w:t>1.管理人为本基金的主要会计责任方。</w:t>
      </w:r>
    </w:p>
    <w:p>
      <w:pPr>
        <w:pStyle w:val="81"/>
        <w:rPr>
          <w:color w:val="auto"/>
          <w:highlight w:val="none"/>
          <w:u w:val="none"/>
        </w:rPr>
      </w:pPr>
      <w:r>
        <w:rPr>
          <w:color w:val="auto"/>
          <w:szCs w:val="21"/>
          <w:highlight w:val="none"/>
          <w:u w:val="none"/>
        </w:rPr>
        <w:t>2.本基金的会计年度为公历年度的1月1日至12月31日。</w:t>
      </w:r>
    </w:p>
    <w:p>
      <w:pPr>
        <w:pStyle w:val="81"/>
        <w:rPr>
          <w:color w:val="auto"/>
          <w:highlight w:val="none"/>
          <w:u w:val="none"/>
        </w:rPr>
      </w:pPr>
      <w:r>
        <w:rPr>
          <w:color w:val="auto"/>
          <w:szCs w:val="21"/>
          <w:highlight w:val="none"/>
          <w:u w:val="none"/>
        </w:rPr>
        <w:t>3.基金核算以人民币为记账本位币，以人民币元为记账单位。</w:t>
      </w:r>
    </w:p>
    <w:p>
      <w:pPr>
        <w:pStyle w:val="81"/>
        <w:rPr>
          <w:color w:val="auto"/>
          <w:highlight w:val="none"/>
          <w:u w:val="none"/>
        </w:rPr>
      </w:pPr>
      <w:r>
        <w:rPr>
          <w:color w:val="auto"/>
          <w:szCs w:val="21"/>
          <w:highlight w:val="none"/>
          <w:u w:val="none"/>
        </w:rPr>
        <w:t>4.会计制度执行国家有关会计制度。</w:t>
      </w:r>
    </w:p>
    <w:p>
      <w:pPr>
        <w:pStyle w:val="81"/>
        <w:rPr>
          <w:color w:val="auto"/>
          <w:highlight w:val="none"/>
          <w:u w:val="none"/>
        </w:rPr>
      </w:pPr>
      <w:r>
        <w:rPr>
          <w:color w:val="auto"/>
          <w:szCs w:val="21"/>
          <w:highlight w:val="none"/>
          <w:u w:val="none"/>
        </w:rPr>
        <w:t>5.本基金单独建账、独立核算。</w:t>
      </w:r>
    </w:p>
    <w:p>
      <w:pPr>
        <w:numPr>
          <w:ilvl w:val="0"/>
          <w:numId w:val="0"/>
        </w:numPr>
        <w:spacing w:line="360" w:lineRule="auto"/>
        <w:ind w:left="0" w:firstLine="420" w:firstLineChars="0"/>
        <w:rPr>
          <w:rFonts w:ascii="楷体" w:hAnsi="楷体" w:eastAsia="楷体"/>
          <w:color w:val="auto"/>
          <w:szCs w:val="21"/>
          <w:highlight w:val="none"/>
          <w:u w:val="none"/>
        </w:rPr>
      </w:pPr>
      <w:r>
        <w:rPr>
          <w:rFonts w:ascii="楷体" w:hAnsi="楷体" w:eastAsia="楷体"/>
          <w:color w:val="auto"/>
          <w:szCs w:val="21"/>
          <w:highlight w:val="none"/>
          <w:u w:val="none"/>
        </w:rPr>
        <w:t>6.管理人</w:t>
      </w:r>
      <w:r>
        <w:rPr>
          <w:rFonts w:hint="eastAsia" w:ascii="楷体" w:hAnsi="楷体" w:eastAsia="楷体"/>
          <w:color w:val="auto"/>
          <w:szCs w:val="21"/>
          <w:highlight w:val="none"/>
          <w:u w:val="none"/>
        </w:rPr>
        <w:t>应</w:t>
      </w:r>
      <w:r>
        <w:rPr>
          <w:rFonts w:ascii="楷体" w:hAnsi="楷体" w:eastAsia="楷体"/>
          <w:color w:val="auto"/>
          <w:szCs w:val="21"/>
          <w:highlight w:val="none"/>
          <w:u w:val="none"/>
        </w:rPr>
        <w:t>保留完整的会计账目、凭证并进行日常的会计核算，按照本合同约定编制会计报表。</w:t>
      </w:r>
    </w:p>
    <w:p>
      <w:pPr>
        <w:numPr>
          <w:ilvl w:val="0"/>
          <w:numId w:val="0"/>
        </w:numPr>
        <w:spacing w:line="360" w:lineRule="auto"/>
        <w:ind w:left="0" w:firstLine="420" w:firstLineChars="0"/>
        <w:rPr>
          <w:rFonts w:ascii="楷体" w:hAnsi="楷体" w:eastAsia="楷体"/>
          <w:color w:val="auto"/>
          <w:szCs w:val="21"/>
          <w:highlight w:val="none"/>
          <w:u w:val="none"/>
        </w:rPr>
      </w:pPr>
      <w:r>
        <w:rPr>
          <w:rFonts w:ascii="楷体" w:hAnsi="楷体" w:eastAsia="楷体"/>
          <w:color w:val="auto"/>
          <w:szCs w:val="21"/>
          <w:highlight w:val="none"/>
          <w:u w:val="none"/>
        </w:rPr>
        <w:t>7.托管人定期与管理人就基金的会计核算、报表编制等进行核对并以书面方</w:t>
      </w:r>
      <w:bookmarkStart w:id="56" w:name="_Toc260056791"/>
      <w:bookmarkStart w:id="57" w:name="_Toc194741918"/>
      <w:r>
        <w:rPr>
          <w:rFonts w:ascii="楷体" w:hAnsi="楷体" w:eastAsia="楷体"/>
          <w:color w:val="auto"/>
          <w:szCs w:val="21"/>
          <w:highlight w:val="none"/>
          <w:u w:val="none"/>
        </w:rPr>
        <w:t>式确认</w:t>
      </w:r>
      <w:r>
        <w:rPr>
          <w:rFonts w:hint="eastAsia" w:ascii="楷体" w:hAnsi="楷体" w:eastAsia="楷体"/>
          <w:color w:val="auto"/>
          <w:szCs w:val="21"/>
          <w:highlight w:val="none"/>
          <w:u w:val="none"/>
        </w:rPr>
        <w:t>。</w:t>
      </w:r>
    </w:p>
    <w:p>
      <w:pPr>
        <w:pStyle w:val="4"/>
        <w:snapToGrid/>
        <w:spacing w:beforeLines="100" w:afterLines="50"/>
        <w:rPr>
          <w:rFonts w:ascii="楷体" w:hAnsi="楷体" w:eastAsia="楷体"/>
          <w:color w:val="auto"/>
          <w:sz w:val="24"/>
          <w:highlight w:val="none"/>
          <w:u w:val="none"/>
        </w:rPr>
      </w:pPr>
      <w:bookmarkStart w:id="58" w:name="_Toc482974542"/>
      <w:r>
        <w:rPr>
          <w:rFonts w:ascii="楷体" w:hAnsi="楷体" w:eastAsia="楷体"/>
          <w:color w:val="auto"/>
          <w:sz w:val="24"/>
          <w:highlight w:val="none"/>
          <w:u w:val="none"/>
        </w:rPr>
        <w:t>第十</w:t>
      </w:r>
      <w:r>
        <w:rPr>
          <w:rFonts w:hint="eastAsia" w:ascii="楷体" w:hAnsi="楷体" w:eastAsia="楷体"/>
          <w:color w:val="auto"/>
          <w:sz w:val="24"/>
          <w:highlight w:val="none"/>
          <w:u w:val="none"/>
        </w:rPr>
        <w:t>八</w:t>
      </w:r>
      <w:r>
        <w:rPr>
          <w:rFonts w:ascii="楷体" w:hAnsi="楷体" w:eastAsia="楷体"/>
          <w:color w:val="auto"/>
          <w:sz w:val="24"/>
          <w:highlight w:val="none"/>
          <w:u w:val="none"/>
        </w:rPr>
        <w:t>节基金的费用与税收</w:t>
      </w:r>
      <w:bookmarkEnd w:id="56"/>
      <w:bookmarkEnd w:id="57"/>
      <w:bookmarkEnd w:id="58"/>
    </w:p>
    <w:p>
      <w:pPr>
        <w:numPr>
          <w:ilvl w:val="0"/>
          <w:numId w:val="0"/>
        </w:numPr>
        <w:spacing w:line="360" w:lineRule="auto"/>
        <w:ind w:left="0" w:firstLine="420" w:firstLineChars="0"/>
        <w:rPr>
          <w:rFonts w:ascii="楷体" w:hAnsi="楷体" w:eastAsia="楷体"/>
          <w:color w:val="auto"/>
          <w:highlight w:val="none"/>
          <w:u w:val="none"/>
        </w:rPr>
      </w:pPr>
      <w:r>
        <w:rPr>
          <w:rFonts w:ascii="楷体" w:hAnsi="楷体" w:eastAsia="楷体"/>
          <w:color w:val="auto"/>
          <w:highlight w:val="none"/>
          <w:u w:val="none"/>
        </w:rPr>
        <w:t>(</w:t>
      </w:r>
      <w:r>
        <w:rPr>
          <w:rFonts w:hint="eastAsia" w:ascii="楷体" w:hAnsi="楷体" w:eastAsia="楷体"/>
          <w:color w:val="auto"/>
          <w:highlight w:val="none"/>
          <w:u w:val="none"/>
        </w:rPr>
        <w:t>一</w:t>
      </w:r>
      <w:r>
        <w:rPr>
          <w:rFonts w:ascii="楷体" w:hAnsi="楷体" w:eastAsia="楷体"/>
          <w:color w:val="auto"/>
          <w:highlight w:val="none"/>
          <w:u w:val="none"/>
        </w:rPr>
        <w:t>)基金费用的种类</w:t>
      </w:r>
    </w:p>
    <w:p>
      <w:pPr>
        <w:pStyle w:val="81"/>
        <w:rPr>
          <w:color w:val="auto"/>
          <w:highlight w:val="none"/>
          <w:u w:val="none"/>
        </w:rPr>
      </w:pPr>
      <w:r>
        <w:rPr>
          <w:color w:val="auto"/>
          <w:highlight w:val="none"/>
          <w:u w:val="none"/>
        </w:rPr>
        <w:t>1.除非份额持有人另行支付或本合同另有约定，基金财产运作过程中发生的下列费用（</w:t>
      </w:r>
      <w:r>
        <w:rPr>
          <w:rFonts w:hint="eastAsia"/>
          <w:color w:val="auto"/>
          <w:highlight w:val="none"/>
          <w:u w:val="none"/>
        </w:rPr>
        <w:t>“基金费用”</w:t>
      </w:r>
      <w:r>
        <w:rPr>
          <w:color w:val="auto"/>
          <w:highlight w:val="none"/>
          <w:u w:val="none"/>
        </w:rPr>
        <w:t>）由基金财产承担：</w:t>
      </w:r>
    </w:p>
    <w:p>
      <w:pPr>
        <w:pStyle w:val="81"/>
        <w:rPr>
          <w:rFonts w:ascii="楷体" w:hAnsi="楷体" w:eastAsia="楷体"/>
          <w:color w:val="auto"/>
          <w:szCs w:val="21"/>
          <w:highlight w:val="none"/>
          <w:u w:val="none"/>
        </w:rPr>
      </w:pPr>
      <w:r>
        <w:rPr>
          <w:rFonts w:hint="eastAsia"/>
          <w:color w:val="auto"/>
          <w:szCs w:val="21"/>
          <w:highlight w:val="none"/>
          <w:u w:val="none"/>
        </w:rPr>
        <w:t>（1）</w:t>
      </w:r>
      <w:r>
        <w:rPr>
          <w:color w:val="auto"/>
          <w:szCs w:val="21"/>
          <w:highlight w:val="none"/>
          <w:u w:val="none"/>
        </w:rPr>
        <w:t>管理人的管理费；</w:t>
      </w:r>
    </w:p>
    <w:p>
      <w:pPr>
        <w:pStyle w:val="81"/>
        <w:rPr>
          <w:rFonts w:ascii="楷体" w:hAnsi="楷体" w:eastAsia="楷体"/>
          <w:color w:val="auto"/>
          <w:szCs w:val="21"/>
          <w:highlight w:val="none"/>
          <w:u w:val="none"/>
        </w:rPr>
      </w:pPr>
      <w:r>
        <w:rPr>
          <w:rFonts w:hint="eastAsia"/>
          <w:color w:val="auto"/>
          <w:szCs w:val="21"/>
          <w:highlight w:val="none"/>
          <w:u w:val="none"/>
        </w:rPr>
        <w:t>（2）</w:t>
      </w:r>
      <w:r>
        <w:rPr>
          <w:color w:val="auto"/>
          <w:szCs w:val="21"/>
          <w:highlight w:val="none"/>
          <w:u w:val="none"/>
        </w:rPr>
        <w:t>托管人的托管费；</w:t>
      </w:r>
    </w:p>
    <w:p>
      <w:pPr>
        <w:pStyle w:val="81"/>
        <w:rPr>
          <w:rFonts w:ascii="楷体" w:hAnsi="楷体" w:eastAsia="楷体"/>
          <w:color w:val="auto"/>
          <w:szCs w:val="21"/>
          <w:highlight w:val="none"/>
          <w:u w:val="none"/>
        </w:rPr>
      </w:pPr>
      <w:r>
        <w:rPr>
          <w:rFonts w:hint="eastAsia"/>
          <w:color w:val="auto"/>
          <w:szCs w:val="21"/>
          <w:highlight w:val="none"/>
          <w:u w:val="none"/>
        </w:rPr>
        <w:t>（3）外包服务机构的外包服务费；</w:t>
      </w:r>
    </w:p>
    <w:p>
      <w:pPr>
        <w:pStyle w:val="81"/>
        <w:rPr>
          <w:rFonts w:ascii="楷体" w:hAnsi="楷体" w:eastAsia="楷体"/>
          <w:color w:val="auto"/>
          <w:szCs w:val="21"/>
          <w:highlight w:val="none"/>
          <w:u w:val="none"/>
        </w:rPr>
      </w:pPr>
      <w:r>
        <w:rPr>
          <w:rFonts w:hint="eastAsia"/>
          <w:color w:val="auto"/>
          <w:szCs w:val="21"/>
          <w:highlight w:val="none"/>
          <w:u w:val="none"/>
        </w:rPr>
        <w:t>（4）</w:t>
      </w:r>
      <w:r>
        <w:rPr>
          <w:color w:val="auto"/>
          <w:szCs w:val="21"/>
          <w:highlight w:val="none"/>
          <w:u w:val="none"/>
        </w:rPr>
        <w:t>管理人的业绩报酬（如有）；</w:t>
      </w:r>
    </w:p>
    <w:p>
      <w:pPr>
        <w:pStyle w:val="81"/>
        <w:rPr>
          <w:rFonts w:ascii="楷体" w:hAnsi="楷体" w:eastAsia="楷体"/>
          <w:color w:val="auto"/>
          <w:szCs w:val="21"/>
          <w:highlight w:val="none"/>
          <w:u w:val="none"/>
        </w:rPr>
      </w:pPr>
      <w:r>
        <w:rPr>
          <w:rFonts w:hint="eastAsia"/>
          <w:color w:val="auto"/>
          <w:szCs w:val="21"/>
          <w:highlight w:val="none"/>
          <w:u w:val="none"/>
        </w:rPr>
        <w:t>（5）</w:t>
      </w:r>
      <w:r>
        <w:rPr>
          <w:color w:val="auto"/>
          <w:szCs w:val="21"/>
          <w:highlight w:val="none"/>
          <w:u w:val="none"/>
        </w:rPr>
        <w:t>与基金设立及运作相关的资产评估师费、会计师费、律师费等聘请中介机构的费用；</w:t>
      </w:r>
    </w:p>
    <w:p>
      <w:pPr>
        <w:pStyle w:val="81"/>
        <w:rPr>
          <w:rFonts w:ascii="楷体" w:hAnsi="楷体" w:eastAsia="楷体"/>
          <w:color w:val="auto"/>
          <w:szCs w:val="21"/>
          <w:highlight w:val="none"/>
          <w:u w:val="none"/>
        </w:rPr>
      </w:pPr>
      <w:r>
        <w:rPr>
          <w:rFonts w:hint="eastAsia"/>
          <w:color w:val="auto"/>
          <w:szCs w:val="21"/>
          <w:highlight w:val="none"/>
          <w:u w:val="none"/>
        </w:rPr>
        <w:t>（6）</w:t>
      </w:r>
      <w:r>
        <w:rPr>
          <w:color w:val="auto"/>
          <w:szCs w:val="21"/>
          <w:highlight w:val="none"/>
          <w:u w:val="none"/>
        </w:rPr>
        <w:t>文件或账册的制作费、印刷费及其他费用；</w:t>
      </w:r>
    </w:p>
    <w:p>
      <w:pPr>
        <w:pStyle w:val="81"/>
        <w:rPr>
          <w:rFonts w:ascii="楷体" w:hAnsi="楷体" w:eastAsia="楷体"/>
          <w:color w:val="auto"/>
          <w:szCs w:val="21"/>
          <w:highlight w:val="none"/>
          <w:u w:val="none"/>
        </w:rPr>
      </w:pPr>
      <w:r>
        <w:rPr>
          <w:rFonts w:hint="eastAsia"/>
          <w:color w:val="auto"/>
          <w:szCs w:val="21"/>
          <w:highlight w:val="none"/>
          <w:u w:val="none"/>
        </w:rPr>
        <w:t>（7）</w:t>
      </w:r>
      <w:r>
        <w:rPr>
          <w:color w:val="auto"/>
          <w:szCs w:val="21"/>
          <w:highlight w:val="none"/>
          <w:u w:val="none"/>
        </w:rPr>
        <w:t>银行账户的资金结算汇划费、账户维护费</w:t>
      </w:r>
      <w:r>
        <w:rPr>
          <w:rFonts w:hint="eastAsia"/>
          <w:color w:val="auto"/>
          <w:szCs w:val="21"/>
          <w:highlight w:val="none"/>
          <w:u w:val="none"/>
        </w:rPr>
        <w:t>、</w:t>
      </w:r>
      <w:r>
        <w:rPr>
          <w:color w:val="auto"/>
          <w:szCs w:val="21"/>
          <w:highlight w:val="none"/>
          <w:u w:val="none"/>
        </w:rPr>
        <w:t>账户服务费；</w:t>
      </w:r>
    </w:p>
    <w:p>
      <w:pPr>
        <w:pStyle w:val="81"/>
        <w:rPr>
          <w:rFonts w:ascii="楷体" w:hAnsi="楷体" w:eastAsia="楷体"/>
          <w:color w:val="auto"/>
          <w:szCs w:val="21"/>
          <w:highlight w:val="none"/>
          <w:u w:val="none"/>
        </w:rPr>
      </w:pPr>
      <w:r>
        <w:rPr>
          <w:rFonts w:hint="eastAsia"/>
          <w:color w:val="auto"/>
          <w:szCs w:val="21"/>
          <w:highlight w:val="none"/>
          <w:u w:val="none"/>
        </w:rPr>
        <w:t>（8）</w:t>
      </w:r>
      <w:r>
        <w:rPr>
          <w:color w:val="auto"/>
          <w:szCs w:val="21"/>
          <w:highlight w:val="none"/>
          <w:u w:val="none"/>
        </w:rPr>
        <w:t>基金财产开立账户需要支付的费用；</w:t>
      </w:r>
    </w:p>
    <w:p>
      <w:pPr>
        <w:pStyle w:val="81"/>
        <w:rPr>
          <w:rFonts w:ascii="楷体" w:hAnsi="楷体" w:eastAsia="楷体"/>
          <w:color w:val="auto"/>
          <w:szCs w:val="21"/>
          <w:highlight w:val="none"/>
          <w:u w:val="none"/>
        </w:rPr>
      </w:pPr>
      <w:r>
        <w:rPr>
          <w:rFonts w:hint="eastAsia"/>
          <w:color w:val="auto"/>
          <w:szCs w:val="21"/>
          <w:highlight w:val="none"/>
          <w:u w:val="none"/>
        </w:rPr>
        <w:t>（9）</w:t>
      </w:r>
      <w:r>
        <w:rPr>
          <w:color w:val="auto"/>
          <w:szCs w:val="21"/>
          <w:highlight w:val="none"/>
          <w:u w:val="none"/>
        </w:rPr>
        <w:t>基金终止时的清算费用；</w:t>
      </w:r>
    </w:p>
    <w:p>
      <w:pPr>
        <w:pStyle w:val="81"/>
        <w:rPr>
          <w:rFonts w:ascii="楷体" w:hAnsi="楷体" w:eastAsia="楷体"/>
          <w:color w:val="auto"/>
          <w:szCs w:val="21"/>
          <w:highlight w:val="none"/>
          <w:u w:val="none"/>
        </w:rPr>
      </w:pPr>
      <w:r>
        <w:rPr>
          <w:rFonts w:hint="eastAsia"/>
          <w:color w:val="auto"/>
          <w:szCs w:val="21"/>
          <w:highlight w:val="none"/>
          <w:u w:val="none"/>
        </w:rPr>
        <w:t>（10）</w:t>
      </w:r>
      <w:r>
        <w:rPr>
          <w:color w:val="auto"/>
          <w:szCs w:val="21"/>
          <w:highlight w:val="none"/>
          <w:u w:val="none"/>
        </w:rPr>
        <w:t>为解决因基金财产及基金事务产生的纠纷而产生的费用，包括但不限于诉讼费、仲裁费、律师费、拍卖费及其他形式的资产处置费等费用；</w:t>
      </w:r>
    </w:p>
    <w:p>
      <w:pPr>
        <w:pStyle w:val="81"/>
        <w:rPr>
          <w:rFonts w:ascii="楷体" w:hAnsi="楷体" w:eastAsia="楷体"/>
          <w:color w:val="auto"/>
          <w:szCs w:val="21"/>
          <w:highlight w:val="none"/>
          <w:u w:val="none"/>
        </w:rPr>
      </w:pPr>
      <w:r>
        <w:rPr>
          <w:rFonts w:hint="eastAsia"/>
          <w:color w:val="auto"/>
          <w:szCs w:val="21"/>
          <w:highlight w:val="none"/>
          <w:u w:val="none"/>
        </w:rPr>
        <w:t>（11）</w:t>
      </w:r>
      <w:r>
        <w:rPr>
          <w:color w:val="auto"/>
          <w:szCs w:val="21"/>
          <w:highlight w:val="none"/>
          <w:u w:val="none"/>
        </w:rPr>
        <w:t>基金财产管理、运用及处分过程中发生的税费（如有）；</w:t>
      </w:r>
    </w:p>
    <w:p>
      <w:pPr>
        <w:pStyle w:val="81"/>
        <w:rPr>
          <w:rFonts w:ascii="楷体" w:hAnsi="楷体" w:eastAsia="楷体"/>
          <w:color w:val="auto"/>
          <w:szCs w:val="21"/>
          <w:highlight w:val="none"/>
          <w:u w:val="none"/>
        </w:rPr>
      </w:pPr>
      <w:r>
        <w:rPr>
          <w:rFonts w:hint="eastAsia"/>
          <w:color w:val="auto"/>
          <w:szCs w:val="21"/>
          <w:highlight w:val="none"/>
          <w:u w:val="none"/>
        </w:rPr>
        <w:t>（12）</w:t>
      </w:r>
      <w:r>
        <w:rPr>
          <w:color w:val="auto"/>
          <w:szCs w:val="21"/>
          <w:highlight w:val="none"/>
          <w:u w:val="none"/>
        </w:rPr>
        <w:t>按照国家有关法律法规规定和本合同约定，可以在基金资产中列支的其他费用。</w:t>
      </w:r>
    </w:p>
    <w:p>
      <w:pPr>
        <w:pStyle w:val="81"/>
        <w:rPr>
          <w:color w:val="auto"/>
          <w:highlight w:val="none"/>
          <w:u w:val="none"/>
        </w:rPr>
      </w:pPr>
      <w:r>
        <w:rPr>
          <w:color w:val="auto"/>
          <w:highlight w:val="none"/>
          <w:u w:val="none"/>
        </w:rPr>
        <w:t>2.</w:t>
      </w:r>
      <w:r>
        <w:rPr>
          <w:color w:val="auto"/>
          <w:szCs w:val="21"/>
          <w:highlight w:val="none"/>
          <w:u w:val="none"/>
        </w:rPr>
        <w:t>管理人负责上述各项费用的核算工作，并应妥善保管上述费用的相关单据、凭证。除非特别说明，上述费用均在发生时或根据相关的合同约定由管理人指令托管人从托管账户中支付，并按实际支出金额列入当期费用。管理人或托管人如以固有财产先行垫付基金费用的，有权根据实际发生额（以发票为准）从基金财产中优先获得补偿</w:t>
      </w:r>
      <w:r>
        <w:rPr>
          <w:rFonts w:hint="eastAsia"/>
          <w:color w:val="auto"/>
          <w:szCs w:val="21"/>
          <w:highlight w:val="none"/>
          <w:u w:val="none"/>
        </w:rPr>
        <w:t>；尽管有本条款约定，托管人不承担垫付任何基金费用的义务</w:t>
      </w:r>
      <w:r>
        <w:rPr>
          <w:color w:val="auto"/>
          <w:highlight w:val="none"/>
          <w:u w:val="none"/>
        </w:rPr>
        <w:t>。</w:t>
      </w:r>
    </w:p>
    <w:p>
      <w:pPr>
        <w:pStyle w:val="81"/>
        <w:rPr>
          <w:rFonts w:ascii="楷体" w:hAnsi="楷体" w:eastAsia="楷体"/>
          <w:color w:val="auto"/>
          <w:szCs w:val="21"/>
          <w:highlight w:val="none"/>
          <w:u w:val="none"/>
        </w:rPr>
      </w:pPr>
      <w:r>
        <w:rPr>
          <w:color w:val="auto"/>
          <w:szCs w:val="21"/>
          <w:highlight w:val="none"/>
          <w:u w:val="none"/>
        </w:rPr>
        <w:t>3.本节第（一）款第1项所述之</w:t>
      </w:r>
      <w:r>
        <w:rPr>
          <w:rFonts w:hint="eastAsia"/>
          <w:color w:val="auto"/>
          <w:szCs w:val="21"/>
          <w:highlight w:val="none"/>
          <w:u w:val="none"/>
        </w:rPr>
        <w:t>“</w:t>
      </w:r>
      <w:r>
        <w:rPr>
          <w:color w:val="auto"/>
          <w:szCs w:val="21"/>
          <w:highlight w:val="none"/>
          <w:u w:val="none"/>
        </w:rPr>
        <w:t>银行账户的资金结算汇划费、账户维护费</w:t>
      </w:r>
      <w:r>
        <w:rPr>
          <w:rFonts w:hint="eastAsia"/>
          <w:color w:val="auto"/>
          <w:szCs w:val="21"/>
          <w:highlight w:val="none"/>
          <w:u w:val="none"/>
        </w:rPr>
        <w:t>、账户</w:t>
      </w:r>
      <w:r>
        <w:rPr>
          <w:color w:val="auto"/>
          <w:szCs w:val="21"/>
          <w:highlight w:val="none"/>
          <w:u w:val="none"/>
        </w:rPr>
        <w:t>服务费</w:t>
      </w:r>
      <w:r>
        <w:rPr>
          <w:rFonts w:hint="eastAsia"/>
          <w:color w:val="auto"/>
          <w:szCs w:val="21"/>
          <w:highlight w:val="none"/>
          <w:u w:val="none"/>
        </w:rPr>
        <w:t>”</w:t>
      </w:r>
      <w:r>
        <w:rPr>
          <w:color w:val="auto"/>
          <w:szCs w:val="21"/>
          <w:highlight w:val="none"/>
          <w:u w:val="none"/>
        </w:rPr>
        <w:t>由开户银行自动扣划，无需管理人向托管人出具划款指令。</w:t>
      </w:r>
    </w:p>
    <w:p>
      <w:pPr>
        <w:pStyle w:val="81"/>
        <w:rPr>
          <w:color w:val="auto"/>
          <w:highlight w:val="none"/>
          <w:u w:val="none"/>
        </w:rPr>
      </w:pPr>
      <w:bookmarkStart w:id="59" w:name="OLE_LINK11"/>
      <w:bookmarkStart w:id="60" w:name="OLE_LINK12"/>
      <w:bookmarkStart w:id="61" w:name="OLE_LINK10"/>
      <w:bookmarkStart w:id="62" w:name="OLE_LINK1"/>
      <w:bookmarkStart w:id="63" w:name="OLE_LINK9"/>
      <w:bookmarkStart w:id="64" w:name="OLE_LINK3"/>
      <w:r>
        <w:rPr>
          <w:color w:val="auto"/>
          <w:highlight w:val="none"/>
          <w:u w:val="none"/>
        </w:rPr>
        <w:t>(二)费用计提方法、计提标准和支付方式</w:t>
      </w:r>
    </w:p>
    <w:p>
      <w:pPr>
        <w:pStyle w:val="81"/>
        <w:rPr>
          <w:rFonts w:ascii="楷体" w:hAnsi="楷体" w:eastAsia="楷体"/>
          <w:color w:val="auto"/>
          <w:szCs w:val="21"/>
          <w:highlight w:val="none"/>
          <w:u w:val="none"/>
        </w:rPr>
      </w:pPr>
      <w:r>
        <w:rPr>
          <w:color w:val="auto"/>
          <w:szCs w:val="21"/>
          <w:highlight w:val="none"/>
          <w:u w:val="none"/>
        </w:rPr>
        <w:t>1.管理人的管理费</w:t>
      </w:r>
    </w:p>
    <w:p>
      <w:pPr>
        <w:pStyle w:val="81"/>
        <w:rPr>
          <w:color w:val="auto"/>
          <w:highlight w:val="none"/>
          <w:u w:val="none"/>
        </w:rPr>
      </w:pPr>
      <w:r>
        <w:rPr>
          <w:rFonts w:hint="eastAsia"/>
          <w:color w:val="auto"/>
          <w:highlight w:val="none"/>
          <w:u w:val="none"/>
        </w:rPr>
        <w:t>本基金的管理费按前一日基金财产净值的</w:t>
      </w:r>
      <w:r>
        <w:rPr>
          <w:color w:val="auto"/>
          <w:highlight w:val="none"/>
          <w:u w:val="none"/>
        </w:rPr>
        <w:t>1.5%</w:t>
      </w:r>
      <w:r>
        <w:rPr>
          <w:rFonts w:hint="eastAsia"/>
          <w:color w:val="auto"/>
          <w:highlight w:val="none"/>
          <w:u w:val="none"/>
        </w:rPr>
        <w:t>年费率计提。管理费的计算方法如下：</w:t>
      </w:r>
    </w:p>
    <w:p>
      <w:pPr>
        <w:pStyle w:val="81"/>
        <w:rPr>
          <w:color w:val="auto"/>
          <w:highlight w:val="none"/>
          <w:u w:val="none"/>
        </w:rPr>
      </w:pPr>
      <w:r>
        <w:rPr>
          <w:color w:val="auto"/>
          <w:highlight w:val="none"/>
          <w:u w:val="none"/>
        </w:rPr>
        <w:t>H＝E</w:t>
      </w:r>
      <w:r>
        <w:rPr>
          <w:rFonts w:hint="eastAsia"/>
          <w:color w:val="auto"/>
          <w:highlight w:val="none"/>
          <w:u w:val="none"/>
        </w:rPr>
        <w:t>×</w:t>
      </w:r>
      <w:r>
        <w:rPr>
          <w:color w:val="auto"/>
          <w:highlight w:val="none"/>
          <w:u w:val="none"/>
        </w:rPr>
        <w:t>R÷当年天数</w:t>
      </w:r>
    </w:p>
    <w:p>
      <w:pPr>
        <w:pStyle w:val="81"/>
        <w:rPr>
          <w:color w:val="auto"/>
          <w:highlight w:val="none"/>
          <w:u w:val="none"/>
        </w:rPr>
      </w:pPr>
      <w:r>
        <w:rPr>
          <w:color w:val="auto"/>
          <w:highlight w:val="none"/>
          <w:u w:val="none"/>
        </w:rPr>
        <w:t>H为每日应计提的管理费</w:t>
      </w:r>
    </w:p>
    <w:p>
      <w:pPr>
        <w:pStyle w:val="81"/>
        <w:rPr>
          <w:color w:val="auto"/>
          <w:highlight w:val="none"/>
          <w:u w:val="none"/>
        </w:rPr>
      </w:pPr>
      <w:r>
        <w:rPr>
          <w:color w:val="auto"/>
          <w:highlight w:val="none"/>
          <w:u w:val="none"/>
        </w:rPr>
        <w:t>E为前一日的基金财产净值</w:t>
      </w:r>
    </w:p>
    <w:p>
      <w:pPr>
        <w:pStyle w:val="81"/>
        <w:rPr>
          <w:color w:val="auto"/>
          <w:highlight w:val="none"/>
          <w:u w:val="none"/>
        </w:rPr>
      </w:pPr>
      <w:r>
        <w:rPr>
          <w:color w:val="auto"/>
          <w:highlight w:val="none"/>
          <w:u w:val="none"/>
        </w:rPr>
        <w:t>R为本基金的年管理费率</w:t>
      </w:r>
    </w:p>
    <w:p>
      <w:pPr>
        <w:pStyle w:val="81"/>
        <w:rPr>
          <w:color w:val="auto"/>
          <w:highlight w:val="none"/>
          <w:u w:val="none"/>
        </w:rPr>
      </w:pPr>
      <w:r>
        <w:rPr>
          <w:rFonts w:hint="eastAsia"/>
          <w:color w:val="auto"/>
          <w:highlight w:val="none"/>
          <w:u w:val="none"/>
        </w:rPr>
        <w:t>本基金的管理费自基金合同生效日起，每日计提，按季（为免歧义，本合同中所提及的“季</w:t>
      </w:r>
      <w:r>
        <w:rPr>
          <w:color w:val="auto"/>
          <w:highlight w:val="none"/>
          <w:u w:val="none"/>
        </w:rPr>
        <w:t>/季度”均指“自然季度”）支付。管理费经管理人与托管人核对一致后，托管人于次季五个工作日内从托管账户中将该季度的管理费划至管理人指定账户。管理人应保证支付日在托管账户中预留足额资金。若托管账户余额不足支付管理费的，托管人可从本基金在证券经纪机构处开立的保证金账户中将资金划回托管账户，用于支付。以上由托管人执行的费用支付行为，无需管理人出具划款指令。管理人在执行交易决策时，需考虑费用支付对可用交易金额的影响。</w:t>
      </w:r>
    </w:p>
    <w:p>
      <w:pPr>
        <w:pStyle w:val="81"/>
        <w:rPr>
          <w:color w:val="auto"/>
          <w:highlight w:val="none"/>
          <w:u w:val="none"/>
        </w:rPr>
      </w:pPr>
      <w:r>
        <w:rPr>
          <w:rFonts w:hint="eastAsia"/>
          <w:color w:val="auto"/>
          <w:highlight w:val="none"/>
          <w:u w:val="none"/>
        </w:rPr>
        <w:t>管理人收款账户信息：</w:t>
      </w:r>
    </w:p>
    <w:p>
      <w:pPr>
        <w:pStyle w:val="81"/>
        <w:rPr>
          <w:color w:val="auto"/>
          <w:highlight w:val="none"/>
          <w:u w:val="none"/>
        </w:rPr>
      </w:pPr>
      <w:r>
        <w:rPr>
          <w:rFonts w:hint="eastAsia"/>
          <w:color w:val="auto"/>
          <w:highlight w:val="none"/>
          <w:u w:val="none"/>
        </w:rPr>
        <w:t>户名：广东睿璞投资管理有限公司</w:t>
      </w:r>
    </w:p>
    <w:p>
      <w:pPr>
        <w:pStyle w:val="81"/>
        <w:rPr>
          <w:color w:val="auto"/>
          <w:highlight w:val="none"/>
          <w:u w:val="none"/>
        </w:rPr>
      </w:pPr>
      <w:r>
        <w:rPr>
          <w:rFonts w:hint="eastAsia"/>
          <w:color w:val="auto"/>
          <w:highlight w:val="none"/>
          <w:u w:val="none"/>
        </w:rPr>
        <w:t>账号：</w:t>
      </w:r>
      <w:r>
        <w:rPr>
          <w:color w:val="auto"/>
          <w:highlight w:val="none"/>
          <w:u w:val="none"/>
        </w:rPr>
        <w:t>11014813501002</w:t>
      </w:r>
    </w:p>
    <w:p>
      <w:pPr>
        <w:pStyle w:val="81"/>
        <w:rPr>
          <w:color w:val="auto"/>
          <w:highlight w:val="none"/>
          <w:u w:val="none"/>
        </w:rPr>
      </w:pPr>
      <w:r>
        <w:rPr>
          <w:rFonts w:hint="eastAsia"/>
          <w:color w:val="auto"/>
          <w:highlight w:val="none"/>
          <w:u w:val="none"/>
        </w:rPr>
        <w:t>开户银行：平安银行广州越秀支行</w:t>
      </w:r>
    </w:p>
    <w:p>
      <w:pPr>
        <w:pStyle w:val="81"/>
        <w:rPr>
          <w:color w:val="auto"/>
          <w:highlight w:val="none"/>
          <w:u w:val="none"/>
        </w:rPr>
      </w:pPr>
      <w:r>
        <w:rPr>
          <w:rFonts w:hint="eastAsia"/>
          <w:color w:val="auto"/>
          <w:highlight w:val="none"/>
          <w:u w:val="none"/>
        </w:rPr>
        <w:t>以上收款账户如有变更的，管理人需至少提前两个工作日以告知函的形式通知托管人，账户变更生效日为托管人收到告知函的次一工作日。</w:t>
      </w:r>
    </w:p>
    <w:p>
      <w:pPr>
        <w:pStyle w:val="81"/>
        <w:rPr>
          <w:rFonts w:ascii="楷体" w:hAnsi="楷体" w:eastAsia="楷体"/>
          <w:color w:val="auto"/>
          <w:szCs w:val="21"/>
          <w:highlight w:val="none"/>
          <w:u w:val="none"/>
        </w:rPr>
      </w:pPr>
      <w:r>
        <w:rPr>
          <w:color w:val="auto"/>
          <w:szCs w:val="21"/>
          <w:highlight w:val="none"/>
          <w:u w:val="none"/>
        </w:rPr>
        <w:t>2.</w:t>
      </w:r>
      <w:r>
        <w:rPr>
          <w:rFonts w:hint="eastAsia"/>
          <w:color w:val="auto"/>
          <w:szCs w:val="21"/>
          <w:highlight w:val="none"/>
          <w:u w:val="none"/>
        </w:rPr>
        <w:t>托管人的托管费</w:t>
      </w:r>
    </w:p>
    <w:p>
      <w:pPr>
        <w:pStyle w:val="81"/>
        <w:rPr>
          <w:color w:val="auto"/>
          <w:highlight w:val="none"/>
          <w:u w:val="none"/>
        </w:rPr>
      </w:pPr>
      <w:r>
        <w:rPr>
          <w:rFonts w:hint="eastAsia"/>
          <w:color w:val="auto"/>
          <w:highlight w:val="none"/>
          <w:u w:val="none"/>
        </w:rPr>
        <w:t>本基金的托管费按前一日基金财产净值的</w:t>
      </w:r>
      <w:r>
        <w:rPr>
          <w:color w:val="auto"/>
          <w:highlight w:val="none"/>
          <w:u w:val="none"/>
        </w:rPr>
        <w:t>0.1%</w:t>
      </w:r>
      <w:r>
        <w:rPr>
          <w:rFonts w:hint="eastAsia"/>
          <w:color w:val="auto"/>
          <w:highlight w:val="none"/>
          <w:u w:val="none"/>
        </w:rPr>
        <w:t>年费率计提。托管费的计算方法如下：</w:t>
      </w:r>
    </w:p>
    <w:p>
      <w:pPr>
        <w:pStyle w:val="81"/>
        <w:rPr>
          <w:color w:val="auto"/>
          <w:highlight w:val="none"/>
          <w:u w:val="none"/>
        </w:rPr>
      </w:pPr>
      <w:r>
        <w:rPr>
          <w:color w:val="auto"/>
          <w:highlight w:val="none"/>
          <w:u w:val="none"/>
        </w:rPr>
        <w:t>H</w:t>
      </w:r>
      <w:r>
        <w:rPr>
          <w:rFonts w:hint="eastAsia"/>
          <w:color w:val="auto"/>
          <w:highlight w:val="none"/>
          <w:u w:val="none"/>
        </w:rPr>
        <w:t>＝</w:t>
      </w:r>
      <w:r>
        <w:rPr>
          <w:color w:val="auto"/>
          <w:highlight w:val="none"/>
          <w:u w:val="none"/>
        </w:rPr>
        <w:t>E</w:t>
      </w:r>
      <w:r>
        <w:rPr>
          <w:rFonts w:hint="eastAsia"/>
          <w:color w:val="auto"/>
          <w:highlight w:val="none"/>
          <w:u w:val="none"/>
        </w:rPr>
        <w:t>×</w:t>
      </w:r>
      <w:r>
        <w:rPr>
          <w:color w:val="auto"/>
          <w:highlight w:val="none"/>
          <w:u w:val="none"/>
        </w:rPr>
        <w:t>R÷当年天数</w:t>
      </w:r>
    </w:p>
    <w:p>
      <w:pPr>
        <w:pStyle w:val="81"/>
        <w:rPr>
          <w:color w:val="auto"/>
          <w:highlight w:val="none"/>
          <w:u w:val="none"/>
        </w:rPr>
      </w:pPr>
      <w:r>
        <w:rPr>
          <w:color w:val="auto"/>
          <w:highlight w:val="none"/>
          <w:u w:val="none"/>
        </w:rPr>
        <w:t>H</w:t>
      </w:r>
      <w:r>
        <w:rPr>
          <w:rFonts w:hint="eastAsia"/>
          <w:color w:val="auto"/>
          <w:highlight w:val="none"/>
          <w:u w:val="none"/>
        </w:rPr>
        <w:t>为每日应计提的托管费</w:t>
      </w:r>
    </w:p>
    <w:p>
      <w:pPr>
        <w:pStyle w:val="81"/>
        <w:rPr>
          <w:color w:val="auto"/>
          <w:highlight w:val="none"/>
          <w:u w:val="none"/>
        </w:rPr>
      </w:pPr>
      <w:r>
        <w:rPr>
          <w:color w:val="auto"/>
          <w:highlight w:val="none"/>
          <w:u w:val="none"/>
        </w:rPr>
        <w:t>E</w:t>
      </w:r>
      <w:r>
        <w:rPr>
          <w:rFonts w:hint="eastAsia"/>
          <w:color w:val="auto"/>
          <w:highlight w:val="none"/>
          <w:u w:val="none"/>
        </w:rPr>
        <w:t>为前一日的基金财产净值</w:t>
      </w:r>
    </w:p>
    <w:p>
      <w:pPr>
        <w:pStyle w:val="81"/>
        <w:rPr>
          <w:color w:val="auto"/>
          <w:highlight w:val="none"/>
          <w:u w:val="none"/>
        </w:rPr>
      </w:pPr>
      <w:r>
        <w:rPr>
          <w:color w:val="auto"/>
          <w:highlight w:val="none"/>
          <w:u w:val="none"/>
        </w:rPr>
        <w:t>R为本基金的年托管费率</w:t>
      </w:r>
    </w:p>
    <w:p>
      <w:pPr>
        <w:pStyle w:val="81"/>
        <w:rPr>
          <w:color w:val="auto"/>
          <w:highlight w:val="none"/>
          <w:u w:val="none"/>
        </w:rPr>
      </w:pPr>
      <w:r>
        <w:rPr>
          <w:rFonts w:hint="eastAsia"/>
          <w:color w:val="auto"/>
          <w:highlight w:val="none"/>
          <w:u w:val="none"/>
        </w:rPr>
        <w:t>本基金的托管费自基金合同生效日起，每日计提，按季支付。托管费经管理人与托管人核对一致后，托管人于次季五个工作日内从托管账户中划至托管人指定账户。管理人应保证支付日在托管账户中预留足额资金。若托管账户余额不足支付托管费的，托管人可从本基金在证券经纪机构处开立的保证金账户中将资金划回托管账户，用于支付；以上由托管人执行的费用支付行为，无需管理人出具划款指令。管理人在执行交易决策时，需考虑费用支付对可用交易金额的影响。</w:t>
      </w:r>
    </w:p>
    <w:p>
      <w:pPr>
        <w:pStyle w:val="81"/>
        <w:rPr>
          <w:color w:val="auto"/>
          <w:highlight w:val="none"/>
          <w:u w:val="none"/>
        </w:rPr>
      </w:pPr>
      <w:r>
        <w:rPr>
          <w:rFonts w:hint="eastAsia"/>
          <w:color w:val="auto"/>
          <w:highlight w:val="none"/>
          <w:u w:val="none"/>
        </w:rPr>
        <w:t>托管费以会计年度为计算单位，并设置最低值，最低值为每年</w:t>
      </w:r>
      <w:r>
        <w:rPr>
          <w:color w:val="auto"/>
          <w:highlight w:val="none"/>
          <w:u w:val="none"/>
        </w:rPr>
        <w:t>2万元；管理人与托管人在每年的最后一个自然日或基金终止日进行检查核对，如全年托管费不足2万元（如当年运作不足一年的，按当年存续天数/</w:t>
      </w:r>
      <w:r>
        <w:rPr>
          <w:rFonts w:hint="eastAsia"/>
          <w:color w:val="auto"/>
          <w:highlight w:val="none"/>
          <w:u w:val="none"/>
        </w:rPr>
        <w:t>当年天数×</w:t>
      </w:r>
      <w:r>
        <w:rPr>
          <w:color w:val="auto"/>
          <w:highlight w:val="none"/>
          <w:u w:val="none"/>
        </w:rPr>
        <w:t>2万元计算），则在当年最后一个自然日或基金终止日补提，补提金额为已计提托管费与最低值的差额。</w:t>
      </w:r>
    </w:p>
    <w:p>
      <w:pPr>
        <w:pStyle w:val="81"/>
        <w:rPr>
          <w:color w:val="auto"/>
          <w:highlight w:val="none"/>
          <w:u w:val="none"/>
        </w:rPr>
      </w:pPr>
      <w:r>
        <w:rPr>
          <w:rFonts w:hint="eastAsia"/>
          <w:color w:val="auto"/>
          <w:highlight w:val="none"/>
          <w:u w:val="none"/>
        </w:rPr>
        <w:t>如基金在终止时实际运作天数不足一年的，托管费按照一年收取，于基金终止日补提。若基金设置最低年托管费的，补提金额为已计提托管费与最低年托管费的差额。若基金未设置最低年托管费的，则以基金终止日的基金财产净值为基数补提，补提金额</w:t>
      </w:r>
      <w:r>
        <w:rPr>
          <w:color w:val="auto"/>
          <w:highlight w:val="none"/>
          <w:u w:val="none"/>
        </w:rPr>
        <w:t>=</w:t>
      </w:r>
      <w:r>
        <w:rPr>
          <w:rFonts w:hint="eastAsia"/>
          <w:color w:val="auto"/>
          <w:highlight w:val="none"/>
          <w:u w:val="none"/>
        </w:rPr>
        <w:t>基金终止日基金财产净值×本基金的年托管费率×（</w:t>
      </w:r>
      <w:r>
        <w:rPr>
          <w:color w:val="auto"/>
          <w:highlight w:val="none"/>
          <w:u w:val="none"/>
        </w:rPr>
        <w:t>365</w:t>
      </w:r>
      <w:r>
        <w:rPr>
          <w:rFonts w:hint="eastAsia"/>
          <w:color w:val="auto"/>
          <w:highlight w:val="none"/>
          <w:u w:val="none"/>
        </w:rPr>
        <w:t>天</w:t>
      </w:r>
      <w:r>
        <w:rPr>
          <w:color w:val="auto"/>
          <w:highlight w:val="none"/>
          <w:u w:val="none"/>
        </w:rPr>
        <w:t>-</w:t>
      </w:r>
      <w:r>
        <w:rPr>
          <w:rFonts w:hint="eastAsia"/>
          <w:color w:val="auto"/>
          <w:highlight w:val="none"/>
          <w:u w:val="none"/>
        </w:rPr>
        <w:t>基金实际运作天数）÷当年天数。</w:t>
      </w:r>
    </w:p>
    <w:p>
      <w:pPr>
        <w:pStyle w:val="81"/>
        <w:rPr>
          <w:rFonts w:ascii="楷体" w:hAnsi="楷体" w:eastAsia="楷体"/>
          <w:color w:val="auto"/>
          <w:szCs w:val="21"/>
          <w:highlight w:val="none"/>
          <w:u w:val="none"/>
        </w:rPr>
      </w:pPr>
      <w:r>
        <w:rPr>
          <w:color w:val="auto"/>
          <w:szCs w:val="21"/>
          <w:highlight w:val="none"/>
          <w:u w:val="none"/>
        </w:rPr>
        <w:t>3.</w:t>
      </w:r>
      <w:r>
        <w:rPr>
          <w:rFonts w:hint="eastAsia"/>
          <w:color w:val="auto"/>
          <w:szCs w:val="21"/>
          <w:highlight w:val="none"/>
          <w:u w:val="none"/>
        </w:rPr>
        <w:t>外包服务机构的外包服务费</w:t>
      </w:r>
    </w:p>
    <w:p>
      <w:pPr>
        <w:pStyle w:val="81"/>
        <w:rPr>
          <w:color w:val="auto"/>
          <w:highlight w:val="none"/>
          <w:u w:val="none"/>
        </w:rPr>
      </w:pPr>
      <w:r>
        <w:rPr>
          <w:rFonts w:hint="eastAsia"/>
          <w:color w:val="auto"/>
          <w:highlight w:val="none"/>
          <w:u w:val="none"/>
        </w:rPr>
        <w:t>本基金的外包服务费按前一日基金财产净值的</w:t>
      </w:r>
      <w:r>
        <w:rPr>
          <w:color w:val="auto"/>
          <w:highlight w:val="none"/>
          <w:u w:val="none"/>
        </w:rPr>
        <w:t>0.1%</w:t>
      </w:r>
      <w:r>
        <w:rPr>
          <w:rFonts w:hint="eastAsia"/>
          <w:color w:val="auto"/>
          <w:highlight w:val="none"/>
          <w:u w:val="none"/>
        </w:rPr>
        <w:t>年费率计提。外包服务费的计算方法如下：</w:t>
      </w:r>
    </w:p>
    <w:p>
      <w:pPr>
        <w:pStyle w:val="81"/>
        <w:rPr>
          <w:color w:val="auto"/>
          <w:highlight w:val="none"/>
          <w:u w:val="none"/>
        </w:rPr>
      </w:pPr>
      <w:r>
        <w:rPr>
          <w:color w:val="auto"/>
          <w:highlight w:val="none"/>
          <w:u w:val="none"/>
        </w:rPr>
        <w:t>H</w:t>
      </w:r>
      <w:r>
        <w:rPr>
          <w:rFonts w:hint="eastAsia"/>
          <w:color w:val="auto"/>
          <w:highlight w:val="none"/>
          <w:u w:val="none"/>
        </w:rPr>
        <w:t>＝</w:t>
      </w:r>
      <w:r>
        <w:rPr>
          <w:color w:val="auto"/>
          <w:highlight w:val="none"/>
          <w:u w:val="none"/>
        </w:rPr>
        <w:t>E</w:t>
      </w:r>
      <w:r>
        <w:rPr>
          <w:rFonts w:hint="eastAsia"/>
          <w:color w:val="auto"/>
          <w:highlight w:val="none"/>
          <w:u w:val="none"/>
        </w:rPr>
        <w:t>×</w:t>
      </w:r>
      <w:r>
        <w:rPr>
          <w:color w:val="auto"/>
          <w:highlight w:val="none"/>
          <w:u w:val="none"/>
        </w:rPr>
        <w:t>R÷当年天数</w:t>
      </w:r>
    </w:p>
    <w:p>
      <w:pPr>
        <w:pStyle w:val="81"/>
        <w:rPr>
          <w:color w:val="auto"/>
          <w:highlight w:val="none"/>
          <w:u w:val="none"/>
        </w:rPr>
      </w:pPr>
      <w:r>
        <w:rPr>
          <w:color w:val="auto"/>
          <w:highlight w:val="none"/>
          <w:u w:val="none"/>
        </w:rPr>
        <w:t>H</w:t>
      </w:r>
      <w:r>
        <w:rPr>
          <w:rFonts w:hint="eastAsia"/>
          <w:color w:val="auto"/>
          <w:highlight w:val="none"/>
          <w:u w:val="none"/>
        </w:rPr>
        <w:t>为每日应计提的外包服务费</w:t>
      </w:r>
    </w:p>
    <w:p>
      <w:pPr>
        <w:pStyle w:val="81"/>
        <w:rPr>
          <w:color w:val="auto"/>
          <w:highlight w:val="none"/>
          <w:u w:val="none"/>
        </w:rPr>
      </w:pPr>
      <w:r>
        <w:rPr>
          <w:color w:val="auto"/>
          <w:highlight w:val="none"/>
          <w:u w:val="none"/>
        </w:rPr>
        <w:t>E</w:t>
      </w:r>
      <w:r>
        <w:rPr>
          <w:rFonts w:hint="eastAsia"/>
          <w:color w:val="auto"/>
          <w:highlight w:val="none"/>
          <w:u w:val="none"/>
        </w:rPr>
        <w:t>为前一日的基金财产净值</w:t>
      </w:r>
    </w:p>
    <w:p>
      <w:pPr>
        <w:pStyle w:val="81"/>
        <w:rPr>
          <w:color w:val="auto"/>
          <w:highlight w:val="none"/>
          <w:u w:val="none"/>
        </w:rPr>
      </w:pPr>
      <w:r>
        <w:rPr>
          <w:color w:val="auto"/>
          <w:highlight w:val="none"/>
          <w:u w:val="none"/>
        </w:rPr>
        <w:t>R为本基金的年外包服务费率</w:t>
      </w:r>
    </w:p>
    <w:p>
      <w:pPr>
        <w:pStyle w:val="81"/>
        <w:rPr>
          <w:color w:val="auto"/>
          <w:highlight w:val="none"/>
          <w:u w:val="none"/>
        </w:rPr>
      </w:pPr>
      <w:r>
        <w:rPr>
          <w:rFonts w:hint="eastAsia"/>
          <w:color w:val="auto"/>
          <w:highlight w:val="none"/>
          <w:u w:val="none"/>
        </w:rPr>
        <w:t>本基金的外包服务费自基金合同生效日起，每日计提，按季支付。外包服务费经管理人与托管人核对一致后，托管人于次季五个工作日内从托管账户中划至外包服务机构指定账户。管理人应保证支付日在托管账户中预留足额资金。若托管账户余额不足支付外包服务费的，托管人可从本基金在证券经纪机构处开立的保证金账户中将资金划回托管户，用于支付；以上由托管人执行的费用支付行为，无需管理人出具划款指令。管理人在执行交易决策时，需考虑费用支付对可用交易金额的影响。</w:t>
      </w:r>
    </w:p>
    <w:p>
      <w:pPr>
        <w:pStyle w:val="81"/>
        <w:rPr>
          <w:color w:val="auto"/>
          <w:highlight w:val="none"/>
          <w:u w:val="none"/>
        </w:rPr>
      </w:pPr>
      <w:r>
        <w:rPr>
          <w:rFonts w:hint="eastAsia"/>
          <w:color w:val="auto"/>
          <w:highlight w:val="none"/>
          <w:u w:val="none"/>
        </w:rPr>
        <w:t>外包服务费以会计年度为计算单位，并设置最低值，最低值为每年</w:t>
      </w:r>
      <w:r>
        <w:rPr>
          <w:color w:val="auto"/>
          <w:highlight w:val="none"/>
          <w:u w:val="none"/>
        </w:rPr>
        <w:t>2万元；管理人与托管人在每年的最后一个自然日或基金终止日进行检查核对，如全年外包服务费不足2万元（如当年运作不足一年的，按当年存续天数/</w:t>
      </w:r>
      <w:r>
        <w:rPr>
          <w:rFonts w:hint="eastAsia"/>
          <w:color w:val="auto"/>
          <w:highlight w:val="none"/>
          <w:u w:val="none"/>
        </w:rPr>
        <w:t>当年天数×</w:t>
      </w:r>
      <w:r>
        <w:rPr>
          <w:color w:val="auto"/>
          <w:highlight w:val="none"/>
          <w:u w:val="none"/>
        </w:rPr>
        <w:t>2万元计算），则在最后一个自然日或基金终止日补提，补提金额为已计提外包服务费与最低值的差额。</w:t>
      </w:r>
    </w:p>
    <w:p>
      <w:pPr>
        <w:pStyle w:val="81"/>
        <w:rPr>
          <w:color w:val="auto"/>
          <w:highlight w:val="none"/>
          <w:u w:val="none"/>
        </w:rPr>
      </w:pPr>
      <w:r>
        <w:rPr>
          <w:rFonts w:hint="eastAsia"/>
          <w:color w:val="auto"/>
          <w:highlight w:val="none"/>
          <w:u w:val="none"/>
        </w:rPr>
        <w:t>如基金终止时实际运作天数不足一年的，外包服务费按照一年收取，于基金终止日补提。若基金设置最低年外包服务费的，补提金额为已计提外包服务费与最低年外包服务费的差额。若基金未设置最低年外包服务费的，则以基金终止日的基金财产净值为基数补提，补提金额</w:t>
      </w:r>
      <w:r>
        <w:rPr>
          <w:color w:val="auto"/>
          <w:highlight w:val="none"/>
          <w:u w:val="none"/>
        </w:rPr>
        <w:t>=</w:t>
      </w:r>
      <w:r>
        <w:rPr>
          <w:rFonts w:hint="eastAsia"/>
          <w:color w:val="auto"/>
          <w:highlight w:val="none"/>
          <w:u w:val="none"/>
        </w:rPr>
        <w:t>基金终止日基金财产净值×本基金的年外包服务费率×（</w:t>
      </w:r>
      <w:r>
        <w:rPr>
          <w:color w:val="auto"/>
          <w:highlight w:val="none"/>
          <w:u w:val="none"/>
        </w:rPr>
        <w:t>365</w:t>
      </w:r>
      <w:r>
        <w:rPr>
          <w:rFonts w:hint="eastAsia"/>
          <w:color w:val="auto"/>
          <w:highlight w:val="none"/>
          <w:u w:val="none"/>
        </w:rPr>
        <w:t>天</w:t>
      </w:r>
      <w:r>
        <w:rPr>
          <w:color w:val="auto"/>
          <w:highlight w:val="none"/>
          <w:u w:val="none"/>
        </w:rPr>
        <w:t>-</w:t>
      </w:r>
      <w:r>
        <w:rPr>
          <w:rFonts w:hint="eastAsia"/>
          <w:color w:val="auto"/>
          <w:highlight w:val="none"/>
          <w:u w:val="none"/>
        </w:rPr>
        <w:t>基金实际运作天数）÷当年天数。</w:t>
      </w:r>
    </w:p>
    <w:p>
      <w:pPr>
        <w:pStyle w:val="81"/>
        <w:rPr>
          <w:rFonts w:ascii="楷体" w:hAnsi="楷体" w:eastAsia="楷体"/>
          <w:color w:val="auto"/>
          <w:szCs w:val="21"/>
          <w:highlight w:val="none"/>
          <w:u w:val="none"/>
        </w:rPr>
      </w:pPr>
      <w:r>
        <w:rPr>
          <w:color w:val="auto"/>
          <w:szCs w:val="21"/>
          <w:highlight w:val="none"/>
          <w:u w:val="none"/>
        </w:rPr>
        <w:t>4.</w:t>
      </w:r>
      <w:r>
        <w:rPr>
          <w:rFonts w:hint="eastAsia"/>
          <w:color w:val="auto"/>
          <w:szCs w:val="21"/>
          <w:highlight w:val="none"/>
          <w:u w:val="none"/>
        </w:rPr>
        <w:t>业绩报酬</w:t>
      </w:r>
    </w:p>
    <w:p>
      <w:pPr>
        <w:pStyle w:val="81"/>
        <w:rPr>
          <w:rFonts w:ascii="楷体" w:hAnsi="楷体" w:eastAsia="楷体"/>
          <w:color w:val="auto"/>
          <w:highlight w:val="none"/>
          <w:u w:val="none"/>
        </w:rPr>
      </w:pPr>
      <w:r>
        <w:rPr>
          <w:rFonts w:hint="eastAsia"/>
          <w:color w:val="auto"/>
          <w:highlight w:val="none"/>
          <w:u w:val="none"/>
        </w:rPr>
        <w:t>管理人将根据如下约定计提业绩报酬。</w:t>
      </w:r>
    </w:p>
    <w:p>
      <w:pPr>
        <w:pStyle w:val="81"/>
        <w:rPr>
          <w:rFonts w:ascii="楷体" w:hAnsi="楷体" w:eastAsia="楷体"/>
          <w:color w:val="auto"/>
          <w:highlight w:val="none"/>
          <w:u w:val="none"/>
        </w:rPr>
      </w:pPr>
      <w:r>
        <w:rPr>
          <w:rFonts w:hint="eastAsia"/>
          <w:color w:val="auto"/>
          <w:highlight w:val="none"/>
          <w:u w:val="none"/>
        </w:rPr>
        <w:t>（</w:t>
      </w:r>
      <w:r>
        <w:rPr>
          <w:color w:val="auto"/>
          <w:highlight w:val="none"/>
          <w:u w:val="none"/>
        </w:rPr>
        <w:t>1）收取业绩报酬的原则</w:t>
      </w:r>
    </w:p>
    <w:p>
      <w:pPr>
        <w:pStyle w:val="81"/>
        <w:rPr>
          <w:rFonts w:ascii="楷体" w:hAnsi="楷体" w:eastAsia="楷体"/>
          <w:color w:val="auto"/>
          <w:highlight w:val="none"/>
          <w:u w:val="none"/>
        </w:rPr>
      </w:pPr>
      <w:r>
        <w:rPr>
          <w:rFonts w:hint="eastAsia"/>
          <w:color w:val="auto"/>
          <w:highlight w:val="none"/>
          <w:u w:val="none"/>
        </w:rPr>
        <w:t>同一投资人不同时间多次参与本基金的，对投资人每笔参与份额分别计算年化收益率计提业绩报酬。业绩报酬计提日为收益分配基准日、赎回日和基金终止日。</w:t>
      </w:r>
    </w:p>
    <w:p>
      <w:pPr>
        <w:pStyle w:val="81"/>
        <w:rPr>
          <w:rFonts w:ascii="楷体" w:hAnsi="楷体" w:eastAsia="楷体"/>
          <w:color w:val="auto"/>
          <w:highlight w:val="none"/>
          <w:u w:val="none"/>
        </w:rPr>
      </w:pPr>
      <w:r>
        <w:rPr>
          <w:rFonts w:hint="eastAsia"/>
          <w:color w:val="auto"/>
          <w:highlight w:val="none"/>
          <w:u w:val="none"/>
        </w:rPr>
        <w:t>在基金收益分配基准日提取业绩报酬的，业绩报酬将从当日收益分配资金中支付；在份额赎回时提取业绩报酬的，业绩报酬从投资者赎回资金中支付；基金终止时提取业绩报酬的，业绩报酬从基金清算财产中支付。</w:t>
      </w:r>
    </w:p>
    <w:p>
      <w:pPr>
        <w:pStyle w:val="81"/>
        <w:rPr>
          <w:rFonts w:ascii="楷体" w:hAnsi="楷体" w:eastAsia="楷体"/>
          <w:color w:val="auto"/>
          <w:highlight w:val="none"/>
          <w:u w:val="none"/>
        </w:rPr>
      </w:pPr>
      <w:r>
        <w:rPr>
          <w:rFonts w:hint="eastAsia"/>
          <w:color w:val="auto"/>
          <w:highlight w:val="none"/>
          <w:u w:val="none"/>
        </w:rPr>
        <w:t>（</w:t>
      </w:r>
      <w:r>
        <w:rPr>
          <w:color w:val="auto"/>
          <w:highlight w:val="none"/>
          <w:u w:val="none"/>
        </w:rPr>
        <w:t>2）</w:t>
      </w:r>
      <w:r>
        <w:rPr>
          <w:rFonts w:hint="eastAsia"/>
          <w:color w:val="auto"/>
          <w:highlight w:val="none"/>
          <w:u w:val="none"/>
        </w:rPr>
        <w:t>业绩报酬的计提方法</w:t>
      </w:r>
    </w:p>
    <w:p>
      <w:pPr>
        <w:pStyle w:val="81"/>
        <w:rPr>
          <w:rFonts w:ascii="楷体" w:hAnsi="楷体" w:eastAsia="楷体"/>
          <w:color w:val="auto"/>
          <w:highlight w:val="none"/>
          <w:u w:val="none"/>
        </w:rPr>
      </w:pPr>
      <w:r>
        <w:rPr>
          <w:rFonts w:hint="eastAsia"/>
          <w:color w:val="auto"/>
          <w:highlight w:val="none"/>
          <w:u w:val="none"/>
        </w:rPr>
        <w:t>在收益分配基准日、赎回日及基金终止日，若持有期年化收益率小于等于</w:t>
      </w:r>
      <w:r>
        <w:rPr>
          <w:color w:val="auto"/>
          <w:highlight w:val="none"/>
          <w:u w:val="none"/>
        </w:rPr>
        <w:t>0</w:t>
      </w:r>
      <w:r>
        <w:rPr>
          <w:rFonts w:hint="eastAsia"/>
          <w:color w:val="auto"/>
          <w:highlight w:val="none"/>
          <w:u w:val="none"/>
        </w:rPr>
        <w:t>，则不计提业绩报酬；若持有期年化收益率大于</w:t>
      </w:r>
      <w:r>
        <w:rPr>
          <w:color w:val="auto"/>
          <w:highlight w:val="none"/>
          <w:u w:val="none"/>
        </w:rPr>
        <w:t>0</w:t>
      </w:r>
      <w:r>
        <w:rPr>
          <w:rFonts w:hint="eastAsia"/>
          <w:color w:val="auto"/>
          <w:highlight w:val="none"/>
          <w:u w:val="none"/>
        </w:rPr>
        <w:t>，则管理人对超出部分按</w:t>
      </w:r>
      <w:r>
        <w:rPr>
          <w:color w:val="auto"/>
          <w:highlight w:val="none"/>
          <w:u w:val="none"/>
        </w:rPr>
        <w:t>20%</w:t>
      </w:r>
      <w:r>
        <w:rPr>
          <w:rFonts w:hint="eastAsia"/>
          <w:color w:val="auto"/>
          <w:highlight w:val="none"/>
          <w:u w:val="none"/>
        </w:rPr>
        <w:t>的比例提取业绩报酬。年化收益率</w:t>
      </w:r>
      <w:r>
        <w:rPr>
          <w:color w:val="auto"/>
          <w:highlight w:val="none"/>
          <w:u w:val="none"/>
        </w:rPr>
        <w:t>R的计算公式如下：</w:t>
      </w:r>
    </w:p>
    <w:p>
      <w:pPr>
        <w:spacing w:line="360" w:lineRule="auto"/>
        <w:ind w:firstLine="420" w:firstLineChars="200"/>
        <w:rPr>
          <w:rFonts w:ascii="楷体" w:hAnsi="楷体" w:eastAsia="楷体"/>
          <w:color w:val="auto"/>
          <w:highlight w:val="none"/>
          <w:u w:val="none"/>
        </w:rPr>
      </w:pPr>
      <w:r>
        <w:rPr>
          <w:rFonts w:ascii="楷体" w:hAnsi="楷体" w:eastAsia="楷体"/>
          <w:color w:val="auto"/>
          <w:highlight w:val="none"/>
          <w:u w:val="none"/>
        </w:rPr>
        <w:drawing>
          <wp:inline distT="0" distB="0" distL="0" distR="0">
            <wp:extent cx="1616710" cy="401320"/>
            <wp:effectExtent l="0" t="0" r="0" b="0"/>
            <wp:docPr id="1"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616710" cy="401320"/>
                    </a:xfrm>
                    <a:prstGeom prst="rect">
                      <a:avLst/>
                    </a:prstGeom>
                    <a:noFill/>
                    <a:ln>
                      <a:noFill/>
                    </a:ln>
                  </pic:spPr>
                </pic:pic>
              </a:graphicData>
            </a:graphic>
          </wp:inline>
        </w:drawing>
      </w:r>
    </w:p>
    <w:p>
      <w:pPr>
        <w:spacing w:line="360" w:lineRule="auto"/>
        <w:ind w:firstLine="420" w:firstLineChars="200"/>
        <w:rPr>
          <w:rFonts w:ascii="楷体" w:hAnsi="楷体" w:eastAsia="楷体"/>
          <w:color w:val="auto"/>
          <w:highlight w:val="none"/>
          <w:u w:val="none"/>
        </w:rPr>
      </w:pPr>
      <w:r>
        <w:rPr>
          <w:rFonts w:hint="eastAsia" w:ascii="楷体" w:hAnsi="楷体" w:eastAsia="楷体"/>
          <w:color w:val="auto"/>
          <w:highlight w:val="none"/>
          <w:u w:val="none"/>
        </w:rPr>
        <w:t>其中：</w:t>
      </w:r>
    </w:p>
    <w:p>
      <w:pPr>
        <w:spacing w:line="360" w:lineRule="auto"/>
        <w:ind w:firstLine="420" w:firstLineChars="200"/>
        <w:rPr>
          <w:rFonts w:ascii="楷体" w:hAnsi="楷体" w:eastAsia="楷体"/>
          <w:color w:val="auto"/>
          <w:highlight w:val="none"/>
          <w:u w:val="none"/>
        </w:rPr>
      </w:pPr>
      <w:r>
        <w:rPr>
          <w:rFonts w:ascii="楷体" w:hAnsi="楷体" w:eastAsia="楷体"/>
          <w:color w:val="auto"/>
          <w:highlight w:val="none"/>
          <w:u w:val="none"/>
        </w:rPr>
        <w:t xml:space="preserve">P1 </w:t>
      </w:r>
      <w:r>
        <w:rPr>
          <w:rFonts w:hint="eastAsia" w:ascii="楷体" w:hAnsi="楷体" w:eastAsia="楷体"/>
          <w:color w:val="auto"/>
          <w:highlight w:val="none"/>
          <w:u w:val="none"/>
        </w:rPr>
        <w:t>为业绩报酬计提日的基金份额累计净值；</w:t>
      </w:r>
    </w:p>
    <w:p>
      <w:pPr>
        <w:spacing w:line="360" w:lineRule="auto"/>
        <w:ind w:firstLine="420" w:firstLineChars="200"/>
        <w:rPr>
          <w:rFonts w:ascii="楷体" w:hAnsi="楷体" w:eastAsia="楷体"/>
          <w:color w:val="auto"/>
          <w:highlight w:val="none"/>
          <w:u w:val="none"/>
        </w:rPr>
      </w:pPr>
      <w:r>
        <w:rPr>
          <w:rFonts w:ascii="楷体" w:hAnsi="楷体" w:eastAsia="楷体"/>
          <w:color w:val="auto"/>
          <w:highlight w:val="none"/>
          <w:u w:val="none"/>
        </w:rPr>
        <w:t xml:space="preserve">P0 </w:t>
      </w:r>
      <w:r>
        <w:rPr>
          <w:rFonts w:hint="eastAsia" w:ascii="楷体" w:hAnsi="楷体" w:eastAsia="楷体"/>
          <w:color w:val="auto"/>
          <w:highlight w:val="none"/>
          <w:u w:val="none"/>
        </w:rPr>
        <w:t>为上一个发生业绩报酬计提日的基金份额累计净值；</w:t>
      </w:r>
    </w:p>
    <w:p>
      <w:pPr>
        <w:spacing w:line="360" w:lineRule="auto"/>
        <w:ind w:firstLine="420" w:firstLineChars="200"/>
        <w:rPr>
          <w:rFonts w:ascii="楷体" w:hAnsi="楷体" w:eastAsia="楷体"/>
          <w:color w:val="auto"/>
          <w:highlight w:val="none"/>
          <w:u w:val="none"/>
        </w:rPr>
      </w:pPr>
      <w:r>
        <w:rPr>
          <w:rFonts w:ascii="楷体" w:hAnsi="楷体" w:eastAsia="楷体"/>
          <w:color w:val="auto"/>
          <w:highlight w:val="none"/>
          <w:u w:val="none"/>
        </w:rPr>
        <w:t>P*</w:t>
      </w:r>
      <w:r>
        <w:rPr>
          <w:rFonts w:hint="eastAsia" w:ascii="楷体" w:hAnsi="楷体" w:eastAsia="楷体"/>
          <w:color w:val="auto"/>
          <w:highlight w:val="none"/>
          <w:u w:val="none"/>
        </w:rPr>
        <w:t>为上一个发生业绩报酬计提日的基金份额净值；</w:t>
      </w:r>
    </w:p>
    <w:p>
      <w:pPr>
        <w:spacing w:line="360" w:lineRule="auto"/>
        <w:ind w:firstLine="420" w:firstLineChars="200"/>
        <w:rPr>
          <w:rFonts w:ascii="楷体" w:hAnsi="楷体" w:eastAsia="楷体"/>
          <w:color w:val="auto"/>
          <w:highlight w:val="none"/>
          <w:u w:val="none"/>
        </w:rPr>
      </w:pPr>
      <w:r>
        <w:rPr>
          <w:rFonts w:ascii="楷体" w:hAnsi="楷体" w:eastAsia="楷体"/>
          <w:color w:val="auto"/>
          <w:highlight w:val="none"/>
          <w:u w:val="none"/>
        </w:rPr>
        <w:t>T</w:t>
      </w:r>
      <w:r>
        <w:rPr>
          <w:rFonts w:hint="eastAsia" w:ascii="楷体" w:hAnsi="楷体" w:eastAsia="楷体"/>
          <w:color w:val="auto"/>
          <w:highlight w:val="none"/>
          <w:u w:val="none"/>
        </w:rPr>
        <w:t>表示上一个发生业绩报酬计提日到本次业绩报酬计提日的天数；</w:t>
      </w:r>
    </w:p>
    <w:p>
      <w:pPr>
        <w:spacing w:afterLines="50" w:line="360" w:lineRule="auto"/>
        <w:ind w:firstLine="420" w:firstLineChars="200"/>
        <w:rPr>
          <w:rFonts w:ascii="楷体" w:hAnsi="楷体" w:eastAsia="楷体"/>
          <w:color w:val="auto"/>
          <w:highlight w:val="none"/>
          <w:u w:val="none"/>
        </w:rPr>
      </w:pPr>
      <w:r>
        <w:rPr>
          <w:rFonts w:hint="eastAsia" w:ascii="楷体" w:hAnsi="楷体" w:eastAsia="楷体"/>
          <w:color w:val="auto"/>
          <w:highlight w:val="none"/>
          <w:u w:val="none"/>
        </w:rPr>
        <w:t>管理人业绩报酬计提如下：</w:t>
      </w:r>
    </w:p>
    <w:tbl>
      <w:tblPr>
        <w:tblStyle w:val="32"/>
        <w:tblW w:w="83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7"/>
        <w:gridCol w:w="1675"/>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27" w:type="dxa"/>
            <w:vAlign w:val="center"/>
          </w:tcPr>
          <w:p>
            <w:pPr>
              <w:ind w:firstLine="105" w:firstLineChars="50"/>
              <w:rPr>
                <w:rFonts w:ascii="楷体" w:hAnsi="楷体" w:eastAsia="楷体"/>
                <w:color w:val="auto"/>
                <w:highlight w:val="none"/>
                <w:u w:val="none"/>
              </w:rPr>
            </w:pPr>
            <w:r>
              <w:rPr>
                <w:rFonts w:hint="eastAsia" w:ascii="楷体" w:hAnsi="楷体" w:eastAsia="楷体"/>
                <w:color w:val="auto"/>
                <w:highlight w:val="none"/>
                <w:u w:val="none"/>
              </w:rPr>
              <w:t>年化收益率（</w:t>
            </w:r>
            <w:r>
              <w:rPr>
                <w:rFonts w:ascii="楷体" w:hAnsi="楷体" w:eastAsia="楷体"/>
                <w:color w:val="auto"/>
                <w:highlight w:val="none"/>
                <w:u w:val="none"/>
              </w:rPr>
              <w:t>R</w:t>
            </w:r>
            <w:r>
              <w:rPr>
                <w:rFonts w:hint="eastAsia" w:ascii="楷体" w:hAnsi="楷体" w:eastAsia="楷体"/>
                <w:color w:val="auto"/>
                <w:highlight w:val="none"/>
                <w:u w:val="none"/>
              </w:rPr>
              <w:t>）</w:t>
            </w:r>
          </w:p>
        </w:tc>
        <w:tc>
          <w:tcPr>
            <w:tcW w:w="1675" w:type="dxa"/>
            <w:vAlign w:val="center"/>
          </w:tcPr>
          <w:p>
            <w:pPr>
              <w:ind w:firstLine="105" w:firstLineChars="50"/>
              <w:rPr>
                <w:rFonts w:ascii="楷体" w:hAnsi="楷体" w:eastAsia="楷体"/>
                <w:color w:val="auto"/>
                <w:highlight w:val="none"/>
                <w:u w:val="none"/>
              </w:rPr>
            </w:pPr>
            <w:r>
              <w:rPr>
                <w:rFonts w:hint="eastAsia" w:ascii="楷体" w:hAnsi="楷体" w:eastAsia="楷体"/>
                <w:color w:val="auto"/>
                <w:highlight w:val="none"/>
                <w:u w:val="none"/>
              </w:rPr>
              <w:t>计提比例</w:t>
            </w:r>
          </w:p>
        </w:tc>
        <w:tc>
          <w:tcPr>
            <w:tcW w:w="4814" w:type="dxa"/>
            <w:vAlign w:val="center"/>
          </w:tcPr>
          <w:p>
            <w:pPr>
              <w:ind w:firstLine="105" w:firstLineChars="50"/>
              <w:rPr>
                <w:rFonts w:ascii="楷体" w:hAnsi="楷体" w:eastAsia="楷体"/>
                <w:color w:val="auto"/>
                <w:highlight w:val="none"/>
                <w:u w:val="none"/>
              </w:rPr>
            </w:pPr>
            <w:r>
              <w:rPr>
                <w:rFonts w:hint="eastAsia" w:ascii="楷体" w:hAnsi="楷体" w:eastAsia="楷体"/>
                <w:color w:val="auto"/>
                <w:highlight w:val="none"/>
                <w:u w:val="none"/>
              </w:rPr>
              <w:t>收取业绩报酬总额（</w:t>
            </w:r>
            <w:r>
              <w:rPr>
                <w:rFonts w:ascii="楷体" w:hAnsi="楷体" w:eastAsia="楷体"/>
                <w:color w:val="auto"/>
                <w:highlight w:val="none"/>
                <w:u w:val="none"/>
              </w:rPr>
              <w:t>Y</w:t>
            </w:r>
            <w:r>
              <w:rPr>
                <w:rFonts w:hint="eastAsia" w:ascii="楷体" w:hAnsi="楷体" w:eastAsia="楷体"/>
                <w:color w:val="auto"/>
                <w:highlight w:val="none"/>
                <w:u w:val="none"/>
              </w:rPr>
              <w:t>）的计提公式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27" w:type="dxa"/>
            <w:vAlign w:val="center"/>
          </w:tcPr>
          <w:p>
            <w:pPr>
              <w:ind w:firstLine="105" w:firstLineChars="50"/>
              <w:rPr>
                <w:rFonts w:ascii="楷体" w:hAnsi="楷体" w:eastAsia="楷体"/>
                <w:color w:val="auto"/>
                <w:highlight w:val="none"/>
                <w:u w:val="none"/>
              </w:rPr>
            </w:pPr>
            <w:r>
              <w:rPr>
                <w:rFonts w:ascii="楷体" w:hAnsi="楷体" w:eastAsia="楷体"/>
                <w:color w:val="auto"/>
                <w:highlight w:val="none"/>
                <w:u w:val="none"/>
              </w:rPr>
              <w:t>R</w:t>
            </w:r>
            <w:r>
              <w:rPr>
                <w:rFonts w:hint="eastAsia" w:ascii="楷体" w:hAnsi="楷体" w:eastAsia="楷体"/>
                <w:color w:val="auto"/>
                <w:highlight w:val="none"/>
                <w:u w:val="none"/>
              </w:rPr>
              <w:t>≤</w:t>
            </w:r>
            <w:r>
              <w:rPr>
                <w:rFonts w:ascii="楷体" w:hAnsi="楷体" w:eastAsia="楷体"/>
                <w:color w:val="auto"/>
                <w:highlight w:val="none"/>
                <w:u w:val="none"/>
              </w:rPr>
              <w:t>0</w:t>
            </w:r>
          </w:p>
        </w:tc>
        <w:tc>
          <w:tcPr>
            <w:tcW w:w="1675" w:type="dxa"/>
            <w:vAlign w:val="center"/>
          </w:tcPr>
          <w:p>
            <w:pPr>
              <w:ind w:firstLine="105" w:firstLineChars="50"/>
              <w:rPr>
                <w:rFonts w:ascii="楷体" w:hAnsi="楷体" w:eastAsia="楷体"/>
                <w:color w:val="auto"/>
                <w:highlight w:val="none"/>
                <w:u w:val="none"/>
              </w:rPr>
            </w:pPr>
            <w:r>
              <w:rPr>
                <w:rFonts w:ascii="楷体" w:hAnsi="楷体" w:eastAsia="楷体"/>
                <w:color w:val="auto"/>
                <w:highlight w:val="none"/>
                <w:u w:val="none"/>
              </w:rPr>
              <w:t>0</w:t>
            </w:r>
          </w:p>
        </w:tc>
        <w:tc>
          <w:tcPr>
            <w:tcW w:w="4814" w:type="dxa"/>
            <w:vAlign w:val="center"/>
          </w:tcPr>
          <w:p>
            <w:pPr>
              <w:ind w:firstLine="105" w:firstLineChars="50"/>
              <w:rPr>
                <w:rFonts w:ascii="楷体" w:hAnsi="楷体" w:eastAsia="楷体"/>
                <w:color w:val="auto"/>
                <w:highlight w:val="none"/>
                <w:u w:val="none"/>
              </w:rPr>
            </w:pPr>
            <w:r>
              <w:rPr>
                <w:rFonts w:ascii="楷体" w:hAnsi="楷体" w:eastAsia="楷体"/>
                <w:color w:val="auto"/>
                <w:highlight w:val="none"/>
                <w:u w:val="none"/>
              </w:rPr>
              <w:t>Y=0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27" w:type="dxa"/>
            <w:vAlign w:val="center"/>
          </w:tcPr>
          <w:p>
            <w:pPr>
              <w:ind w:firstLine="105" w:firstLineChars="50"/>
              <w:rPr>
                <w:rFonts w:ascii="楷体" w:hAnsi="楷体" w:eastAsia="楷体"/>
                <w:color w:val="auto"/>
                <w:highlight w:val="none"/>
                <w:u w:val="none"/>
              </w:rPr>
            </w:pPr>
            <w:r>
              <w:rPr>
                <w:rFonts w:ascii="楷体" w:hAnsi="楷体" w:eastAsia="楷体"/>
                <w:color w:val="auto"/>
                <w:highlight w:val="none"/>
                <w:u w:val="none"/>
              </w:rPr>
              <w:t>R＞0</w:t>
            </w:r>
          </w:p>
        </w:tc>
        <w:tc>
          <w:tcPr>
            <w:tcW w:w="1675" w:type="dxa"/>
            <w:vAlign w:val="center"/>
          </w:tcPr>
          <w:p>
            <w:pPr>
              <w:ind w:firstLine="105" w:firstLineChars="50"/>
              <w:rPr>
                <w:rFonts w:ascii="楷体" w:hAnsi="楷体" w:eastAsia="楷体"/>
                <w:color w:val="auto"/>
                <w:highlight w:val="none"/>
                <w:u w:val="none"/>
              </w:rPr>
            </w:pPr>
            <w:r>
              <w:rPr>
                <w:rFonts w:ascii="楷体" w:hAnsi="楷体" w:eastAsia="楷体"/>
                <w:color w:val="auto"/>
                <w:highlight w:val="none"/>
                <w:u w:val="none"/>
              </w:rPr>
              <w:t>20%</w:t>
            </w:r>
          </w:p>
        </w:tc>
        <w:tc>
          <w:tcPr>
            <w:tcW w:w="4814" w:type="dxa"/>
            <w:vAlign w:val="center"/>
          </w:tcPr>
          <w:p>
            <w:pPr>
              <w:ind w:firstLine="105" w:firstLineChars="50"/>
              <w:rPr>
                <w:rFonts w:ascii="楷体" w:hAnsi="楷体" w:eastAsia="楷体"/>
                <w:color w:val="auto"/>
                <w:highlight w:val="none"/>
                <w:u w:val="none"/>
              </w:rPr>
            </w:pPr>
            <w:r>
              <w:rPr>
                <w:rFonts w:ascii="楷体" w:hAnsi="楷体" w:eastAsia="楷体"/>
                <w:color w:val="auto"/>
                <w:highlight w:val="none"/>
                <w:u w:val="none"/>
              </w:rPr>
              <w:t>Y1（R）=A×R×20%×T/365</w:t>
            </w:r>
          </w:p>
        </w:tc>
      </w:tr>
    </w:tbl>
    <w:p>
      <w:pPr>
        <w:spacing w:beforeLines="50" w:line="360" w:lineRule="auto"/>
        <w:ind w:firstLine="420" w:firstLineChars="200"/>
        <w:rPr>
          <w:rFonts w:ascii="楷体" w:hAnsi="楷体" w:eastAsia="楷体"/>
          <w:color w:val="auto"/>
          <w:highlight w:val="none"/>
          <w:u w:val="none"/>
        </w:rPr>
      </w:pPr>
      <w:r>
        <w:rPr>
          <w:rFonts w:ascii="楷体" w:hAnsi="楷体" w:eastAsia="楷体"/>
          <w:color w:val="auto"/>
          <w:highlight w:val="none"/>
          <w:u w:val="none"/>
        </w:rPr>
        <w:t xml:space="preserve">A </w:t>
      </w:r>
      <w:r>
        <w:rPr>
          <w:rFonts w:hint="eastAsia" w:ascii="楷体" w:hAnsi="楷体" w:eastAsia="楷体"/>
          <w:color w:val="auto"/>
          <w:highlight w:val="none"/>
          <w:u w:val="none"/>
        </w:rPr>
        <w:t>为参与份额在上一个发生业绩报酬计提日的资产净值总额。</w:t>
      </w:r>
    </w:p>
    <w:p>
      <w:pPr>
        <w:pStyle w:val="81"/>
        <w:rPr>
          <w:rFonts w:ascii="楷体" w:hAnsi="楷体" w:eastAsia="楷体"/>
          <w:color w:val="auto"/>
          <w:highlight w:val="none"/>
          <w:u w:val="none"/>
        </w:rPr>
      </w:pPr>
      <w:r>
        <w:rPr>
          <w:rFonts w:hint="eastAsia"/>
          <w:color w:val="auto"/>
          <w:highlight w:val="none"/>
          <w:u w:val="none"/>
        </w:rPr>
        <w:t>初始销售期认购的每笔份额首次计提业绩报酬时的“上一个发生业绩报酬计提日”是指注册登记机构确认初始销售期认购份额之日；存续期申购的每笔份额首次计提业绩报酬时的“上一个发生业绩报酬计提日”指注册登记机构确认该笔申购份额之日。</w:t>
      </w:r>
    </w:p>
    <w:p>
      <w:pPr>
        <w:pStyle w:val="81"/>
        <w:rPr>
          <w:rFonts w:ascii="楷体" w:hAnsi="楷体" w:eastAsia="楷体"/>
          <w:color w:val="auto"/>
          <w:highlight w:val="none"/>
          <w:u w:val="none"/>
        </w:rPr>
      </w:pPr>
      <w:r>
        <w:rPr>
          <w:rFonts w:hint="eastAsia"/>
          <w:color w:val="auto"/>
          <w:highlight w:val="none"/>
          <w:u w:val="none"/>
        </w:rPr>
        <w:t>（</w:t>
      </w:r>
      <w:r>
        <w:rPr>
          <w:color w:val="auto"/>
          <w:highlight w:val="none"/>
          <w:u w:val="none"/>
        </w:rPr>
        <w:t>3）业绩报酬支付</w:t>
      </w:r>
    </w:p>
    <w:p>
      <w:pPr>
        <w:pStyle w:val="81"/>
        <w:rPr>
          <w:color w:val="auto"/>
          <w:highlight w:val="none"/>
          <w:u w:val="none"/>
        </w:rPr>
      </w:pPr>
      <w:r>
        <w:rPr>
          <w:rFonts w:hint="eastAsia"/>
          <w:color w:val="auto"/>
          <w:highlight w:val="none"/>
          <w:u w:val="none"/>
        </w:rPr>
        <w:t>管理人的业绩报酬的计算和复核工作由管理人完成，托管人不承担复核业绩报酬的责任。由管理人向托管人发送划付指令，托管人于收到指令后</w:t>
      </w:r>
      <w:r>
        <w:rPr>
          <w:color w:val="auto"/>
          <w:highlight w:val="none"/>
          <w:u w:val="none"/>
        </w:rPr>
        <w:t>5个工作日内从基金资产中一次性支付给管理人。</w:t>
      </w:r>
    </w:p>
    <w:p>
      <w:pPr>
        <w:pStyle w:val="81"/>
        <w:rPr>
          <w:rFonts w:ascii="楷体" w:hAnsi="楷体" w:eastAsia="楷体"/>
          <w:color w:val="auto"/>
          <w:szCs w:val="21"/>
          <w:highlight w:val="none"/>
          <w:u w:val="none"/>
        </w:rPr>
      </w:pPr>
      <w:r>
        <w:rPr>
          <w:color w:val="auto"/>
          <w:szCs w:val="21"/>
          <w:highlight w:val="none"/>
          <w:u w:val="none"/>
        </w:rPr>
        <w:t>5.管理费、托管费、</w:t>
      </w:r>
      <w:r>
        <w:rPr>
          <w:rFonts w:hint="eastAsia"/>
          <w:color w:val="auto"/>
          <w:szCs w:val="21"/>
          <w:highlight w:val="none"/>
          <w:u w:val="none"/>
        </w:rPr>
        <w:t>外包服务费</w:t>
      </w:r>
      <w:r>
        <w:rPr>
          <w:color w:val="auto"/>
          <w:szCs w:val="21"/>
          <w:highlight w:val="none"/>
          <w:u w:val="none"/>
        </w:rPr>
        <w:t>、销售费服务费</w:t>
      </w:r>
      <w:r>
        <w:rPr>
          <w:rFonts w:hint="eastAsia"/>
          <w:color w:val="auto"/>
          <w:szCs w:val="21"/>
          <w:highlight w:val="none"/>
          <w:u w:val="none"/>
        </w:rPr>
        <w:t>、</w:t>
      </w:r>
      <w:r>
        <w:rPr>
          <w:color w:val="auto"/>
          <w:szCs w:val="21"/>
          <w:highlight w:val="none"/>
          <w:u w:val="none"/>
        </w:rPr>
        <w:t>业绩报酬等基金费用若遇法定节假日、休息日或不可抗力致使无法按时支付的，顺延至最近可支付日支付。</w:t>
      </w:r>
    </w:p>
    <w:bookmarkEnd w:id="59"/>
    <w:bookmarkEnd w:id="60"/>
    <w:bookmarkEnd w:id="61"/>
    <w:bookmarkEnd w:id="62"/>
    <w:bookmarkEnd w:id="63"/>
    <w:bookmarkEnd w:id="64"/>
    <w:p>
      <w:pPr>
        <w:pStyle w:val="81"/>
        <w:rPr>
          <w:color w:val="auto"/>
          <w:highlight w:val="none"/>
          <w:u w:val="none"/>
        </w:rPr>
      </w:pPr>
      <w:r>
        <w:rPr>
          <w:color w:val="auto"/>
          <w:highlight w:val="none"/>
          <w:u w:val="none"/>
        </w:rPr>
        <w:t>(三)不列入基金业务费用的项目</w:t>
      </w:r>
    </w:p>
    <w:p>
      <w:pPr>
        <w:pStyle w:val="81"/>
        <w:rPr>
          <w:color w:val="auto"/>
          <w:highlight w:val="none"/>
          <w:u w:val="none"/>
        </w:rPr>
      </w:pPr>
      <w:r>
        <w:rPr>
          <w:color w:val="auto"/>
          <w:highlight w:val="none"/>
          <w:u w:val="none"/>
        </w:rPr>
        <w:t>1.管理人和托管人因未履行或未完全履行义务导致的费用支出或基金财产的损失。</w:t>
      </w:r>
    </w:p>
    <w:p>
      <w:pPr>
        <w:pStyle w:val="81"/>
        <w:rPr>
          <w:color w:val="auto"/>
          <w:highlight w:val="none"/>
          <w:u w:val="none"/>
        </w:rPr>
      </w:pPr>
      <w:r>
        <w:rPr>
          <w:color w:val="auto"/>
          <w:highlight w:val="none"/>
          <w:u w:val="none"/>
        </w:rPr>
        <w:t>2.管理人和托管人处理与基金运作无关的事项发生的费用。</w:t>
      </w:r>
    </w:p>
    <w:p>
      <w:pPr>
        <w:pStyle w:val="81"/>
        <w:rPr>
          <w:color w:val="auto"/>
          <w:highlight w:val="none"/>
          <w:u w:val="none"/>
        </w:rPr>
      </w:pPr>
      <w:r>
        <w:rPr>
          <w:color w:val="auto"/>
          <w:highlight w:val="none"/>
          <w:u w:val="none"/>
        </w:rPr>
        <w:t>3.其他根据相关法律法规、中国证监会及基金业协会的有关规定不得列入基金费用的项目。</w:t>
      </w:r>
    </w:p>
    <w:p>
      <w:pPr>
        <w:pStyle w:val="81"/>
        <w:rPr>
          <w:color w:val="auto"/>
          <w:highlight w:val="none"/>
          <w:u w:val="none"/>
        </w:rPr>
      </w:pPr>
      <w:r>
        <w:rPr>
          <w:color w:val="auto"/>
          <w:highlight w:val="none"/>
          <w:u w:val="none"/>
        </w:rPr>
        <w:t>(四)基金的税收</w:t>
      </w:r>
    </w:p>
    <w:p>
      <w:pPr>
        <w:pStyle w:val="81"/>
        <w:rPr>
          <w:color w:val="auto"/>
          <w:highlight w:val="none"/>
          <w:u w:val="none"/>
        </w:rPr>
      </w:pPr>
      <w:r>
        <w:rPr>
          <w:color w:val="auto"/>
          <w:highlight w:val="none"/>
          <w:u w:val="none"/>
        </w:rPr>
        <w:t>1.管理人和托管人根据国家法律法规规定，履行纳税义务。</w:t>
      </w:r>
    </w:p>
    <w:p>
      <w:pPr>
        <w:pStyle w:val="81"/>
        <w:rPr>
          <w:color w:val="auto"/>
          <w:highlight w:val="none"/>
          <w:u w:val="none"/>
        </w:rPr>
      </w:pPr>
      <w:r>
        <w:rPr>
          <w:color w:val="auto"/>
          <w:highlight w:val="none"/>
          <w:u w:val="none"/>
        </w:rPr>
        <w:t>2.份额持有人从基金财产中获得的各项收益，由份额持有人根据国家法律法规的规定，自行办理纳税申报并履行纳税义务。管理人不代扣代缴企业所得税和个人所得税（法律另有规定的除外）。</w:t>
      </w:r>
      <w:bookmarkStart w:id="65" w:name="_Toc260056792"/>
      <w:bookmarkStart w:id="66" w:name="_Toc194741919"/>
    </w:p>
    <w:p>
      <w:pPr>
        <w:pStyle w:val="4"/>
        <w:snapToGrid/>
        <w:spacing w:beforeLines="100" w:afterLines="50"/>
        <w:rPr>
          <w:rFonts w:ascii="楷体" w:hAnsi="楷体" w:eastAsia="楷体"/>
          <w:color w:val="auto"/>
          <w:sz w:val="24"/>
          <w:highlight w:val="none"/>
          <w:u w:val="none"/>
        </w:rPr>
      </w:pPr>
      <w:bookmarkStart w:id="67" w:name="_Toc482974543"/>
      <w:r>
        <w:rPr>
          <w:rFonts w:ascii="楷体" w:hAnsi="楷体" w:eastAsia="楷体"/>
          <w:color w:val="auto"/>
          <w:sz w:val="24"/>
          <w:highlight w:val="none"/>
          <w:u w:val="none"/>
        </w:rPr>
        <w:t>第十</w:t>
      </w:r>
      <w:r>
        <w:rPr>
          <w:rFonts w:hint="eastAsia" w:ascii="楷体" w:hAnsi="楷体" w:eastAsia="楷体"/>
          <w:color w:val="auto"/>
          <w:sz w:val="24"/>
          <w:highlight w:val="none"/>
          <w:u w:val="none"/>
        </w:rPr>
        <w:t>九</w:t>
      </w:r>
      <w:r>
        <w:rPr>
          <w:rFonts w:ascii="楷体" w:hAnsi="楷体" w:eastAsia="楷体"/>
          <w:color w:val="auto"/>
          <w:sz w:val="24"/>
          <w:highlight w:val="none"/>
          <w:u w:val="none"/>
        </w:rPr>
        <w:t>节基金的收益分配</w:t>
      </w:r>
      <w:bookmarkEnd w:id="65"/>
      <w:bookmarkEnd w:id="66"/>
      <w:bookmarkEnd w:id="67"/>
    </w:p>
    <w:p>
      <w:pPr>
        <w:pStyle w:val="81"/>
        <w:rPr>
          <w:color w:val="auto"/>
          <w:highlight w:val="none"/>
          <w:u w:val="none"/>
        </w:rPr>
      </w:pPr>
      <w:r>
        <w:rPr>
          <w:color w:val="auto"/>
          <w:szCs w:val="21"/>
          <w:highlight w:val="none"/>
          <w:u w:val="none"/>
        </w:rPr>
        <w:t>（一）</w:t>
      </w:r>
      <w:r>
        <w:rPr>
          <w:rFonts w:hint="eastAsia"/>
          <w:color w:val="auto"/>
          <w:szCs w:val="21"/>
          <w:highlight w:val="none"/>
          <w:u w:val="none"/>
        </w:rPr>
        <w:t>可供分配利润构成</w:t>
      </w:r>
    </w:p>
    <w:p>
      <w:pPr>
        <w:pStyle w:val="81"/>
        <w:rPr>
          <w:color w:val="auto"/>
          <w:highlight w:val="none"/>
          <w:u w:val="none"/>
        </w:rPr>
      </w:pPr>
      <w:bookmarkStart w:id="68" w:name="OLE_LINK64"/>
      <w:bookmarkStart w:id="69" w:name="OLE_LINK63"/>
      <w:r>
        <w:rPr>
          <w:rFonts w:hint="eastAsia"/>
          <w:color w:val="auto"/>
          <w:highlight w:val="none"/>
          <w:u w:val="none"/>
        </w:rPr>
        <w:t>本基金可供分配利润的构成为本基金已实际实现</w:t>
      </w:r>
      <w:r>
        <w:rPr>
          <w:color w:val="auto"/>
          <w:highlight w:val="none"/>
          <w:u w:val="none"/>
        </w:rPr>
        <w:t>的投资收益</w:t>
      </w:r>
      <w:r>
        <w:rPr>
          <w:rFonts w:hint="eastAsia"/>
          <w:color w:val="auto"/>
          <w:highlight w:val="none"/>
          <w:u w:val="none"/>
        </w:rPr>
        <w:t>减去全部应由基金财产承担的税赋和费用后的余额。</w:t>
      </w:r>
    </w:p>
    <w:p>
      <w:pPr>
        <w:pStyle w:val="81"/>
        <w:rPr>
          <w:color w:val="auto"/>
          <w:highlight w:val="none"/>
          <w:u w:val="none"/>
        </w:rPr>
      </w:pPr>
      <w:r>
        <w:rPr>
          <w:color w:val="auto"/>
          <w:szCs w:val="21"/>
          <w:highlight w:val="none"/>
          <w:u w:val="none"/>
        </w:rPr>
        <w:t>（二）</w:t>
      </w:r>
      <w:r>
        <w:rPr>
          <w:rFonts w:hint="eastAsia"/>
          <w:color w:val="auto"/>
          <w:szCs w:val="21"/>
          <w:highlight w:val="none"/>
          <w:u w:val="none"/>
        </w:rPr>
        <w:t>收益分配原则</w:t>
      </w:r>
    </w:p>
    <w:p>
      <w:pPr>
        <w:pStyle w:val="81"/>
        <w:rPr>
          <w:color w:val="auto"/>
          <w:highlight w:val="none"/>
          <w:u w:val="none"/>
        </w:rPr>
      </w:pPr>
      <w:r>
        <w:rPr>
          <w:color w:val="auto"/>
          <w:szCs w:val="21"/>
          <w:highlight w:val="none"/>
          <w:u w:val="none"/>
        </w:rPr>
        <w:t>1.</w:t>
      </w:r>
      <w:r>
        <w:rPr>
          <w:rFonts w:hint="eastAsia"/>
          <w:color w:val="auto"/>
          <w:highlight w:val="none"/>
          <w:u w:val="none"/>
        </w:rPr>
        <w:t>本基金存续期内，</w:t>
      </w:r>
      <w:r>
        <w:rPr>
          <w:color w:val="auto"/>
          <w:highlight w:val="none"/>
          <w:u w:val="none"/>
        </w:rPr>
        <w:t>在符合有关分红条件和收益分配原则的前提下，</w:t>
      </w:r>
      <w:r>
        <w:rPr>
          <w:rFonts w:hint="eastAsia"/>
          <w:color w:val="auto"/>
          <w:highlight w:val="none"/>
          <w:u w:val="none"/>
        </w:rPr>
        <w:t>每年最多进行</w:t>
      </w:r>
      <w:r>
        <w:rPr>
          <w:color w:val="auto"/>
          <w:highlight w:val="none"/>
          <w:u w:val="none"/>
        </w:rPr>
        <w:t>4次收益分配；</w:t>
      </w:r>
    </w:p>
    <w:p>
      <w:pPr>
        <w:pStyle w:val="81"/>
        <w:rPr>
          <w:color w:val="auto"/>
          <w:highlight w:val="none"/>
          <w:u w:val="none"/>
        </w:rPr>
      </w:pPr>
      <w:r>
        <w:rPr>
          <w:color w:val="auto"/>
          <w:szCs w:val="21"/>
          <w:highlight w:val="none"/>
          <w:u w:val="none"/>
        </w:rPr>
        <w:t>2.</w:t>
      </w:r>
      <w:r>
        <w:rPr>
          <w:rFonts w:hint="eastAsia"/>
          <w:color w:val="auto"/>
          <w:highlight w:val="none"/>
          <w:u w:val="none"/>
        </w:rPr>
        <w:t>本基金由管理人决定收益分配基准日及收益分配发放日；</w:t>
      </w:r>
    </w:p>
    <w:p>
      <w:pPr>
        <w:pStyle w:val="81"/>
        <w:rPr>
          <w:color w:val="auto"/>
          <w:highlight w:val="none"/>
          <w:u w:val="none"/>
        </w:rPr>
      </w:pPr>
      <w:r>
        <w:rPr>
          <w:color w:val="auto"/>
          <w:szCs w:val="21"/>
          <w:highlight w:val="none"/>
          <w:u w:val="none"/>
        </w:rPr>
        <w:t>3.</w:t>
      </w:r>
      <w:r>
        <w:rPr>
          <w:rFonts w:hint="eastAsia"/>
          <w:color w:val="auto"/>
          <w:highlight w:val="none"/>
          <w:u w:val="none"/>
        </w:rPr>
        <w:t>本基金每一份额享有同等的分配权；</w:t>
      </w:r>
    </w:p>
    <w:p>
      <w:pPr>
        <w:pStyle w:val="81"/>
        <w:rPr>
          <w:color w:val="auto"/>
          <w:highlight w:val="none"/>
          <w:u w:val="none"/>
        </w:rPr>
      </w:pPr>
      <w:r>
        <w:rPr>
          <w:color w:val="auto"/>
          <w:szCs w:val="21"/>
          <w:highlight w:val="none"/>
          <w:u w:val="none"/>
        </w:rPr>
        <w:t>4.</w:t>
      </w:r>
      <w:r>
        <w:rPr>
          <w:rFonts w:hint="eastAsia"/>
          <w:color w:val="auto"/>
          <w:highlight w:val="none"/>
          <w:u w:val="none"/>
        </w:rPr>
        <w:t>收益分配基准日基金的份额净值减去每份额收益分配金额后不能低于</w:t>
      </w:r>
      <w:r>
        <w:rPr>
          <w:color w:val="auto"/>
          <w:highlight w:val="none"/>
          <w:u w:val="none"/>
        </w:rPr>
        <w:t>1.000元；</w:t>
      </w:r>
    </w:p>
    <w:p>
      <w:pPr>
        <w:pStyle w:val="81"/>
        <w:rPr>
          <w:color w:val="auto"/>
          <w:highlight w:val="none"/>
          <w:u w:val="none"/>
        </w:rPr>
      </w:pPr>
      <w:r>
        <w:rPr>
          <w:color w:val="auto"/>
          <w:szCs w:val="21"/>
          <w:highlight w:val="none"/>
          <w:u w:val="none"/>
        </w:rPr>
        <w:t>5.</w:t>
      </w:r>
      <w:r>
        <w:rPr>
          <w:rFonts w:hint="eastAsia"/>
          <w:color w:val="auto"/>
          <w:highlight w:val="none"/>
          <w:u w:val="none"/>
        </w:rPr>
        <w:t>收益分配比例由管理人根据基金运作情况决定；</w:t>
      </w:r>
    </w:p>
    <w:p>
      <w:pPr>
        <w:pStyle w:val="81"/>
        <w:rPr>
          <w:color w:val="auto"/>
          <w:highlight w:val="none"/>
          <w:u w:val="none"/>
        </w:rPr>
      </w:pPr>
      <w:r>
        <w:rPr>
          <w:color w:val="auto"/>
          <w:szCs w:val="21"/>
          <w:highlight w:val="none"/>
          <w:u w:val="none"/>
        </w:rPr>
        <w:t>6.</w:t>
      </w:r>
      <w:r>
        <w:rPr>
          <w:rFonts w:hint="eastAsia"/>
          <w:color w:val="auto"/>
          <w:highlight w:val="none"/>
          <w:u w:val="none"/>
        </w:rPr>
        <w:t>法律、法规或监管部门另有规定的从其规定。</w:t>
      </w:r>
    </w:p>
    <w:p>
      <w:pPr>
        <w:pStyle w:val="81"/>
        <w:rPr>
          <w:color w:val="auto"/>
          <w:szCs w:val="21"/>
          <w:highlight w:val="none"/>
          <w:u w:val="none"/>
        </w:rPr>
      </w:pPr>
      <w:r>
        <w:rPr>
          <w:color w:val="auto"/>
          <w:szCs w:val="21"/>
          <w:highlight w:val="none"/>
          <w:u w:val="none"/>
        </w:rPr>
        <w:t>（三）</w:t>
      </w:r>
      <w:r>
        <w:rPr>
          <w:rFonts w:hint="eastAsia"/>
          <w:color w:val="auto"/>
          <w:szCs w:val="21"/>
          <w:highlight w:val="none"/>
          <w:u w:val="none"/>
        </w:rPr>
        <w:t>收益分配方式</w:t>
      </w:r>
    </w:p>
    <w:p>
      <w:pPr>
        <w:pStyle w:val="81"/>
        <w:rPr>
          <w:color w:val="auto"/>
          <w:szCs w:val="21"/>
          <w:highlight w:val="none"/>
          <w:u w:val="none"/>
        </w:rPr>
      </w:pPr>
      <w:r>
        <w:rPr>
          <w:rFonts w:hint="eastAsia"/>
          <w:color w:val="auto"/>
          <w:szCs w:val="21"/>
          <w:highlight w:val="none"/>
          <w:u w:val="none"/>
        </w:rPr>
        <w:t>本基金的收益分配方式为现金分红，每位投资者获得的分红收益金额保留小数点后</w:t>
      </w:r>
      <w:r>
        <w:rPr>
          <w:color w:val="auto"/>
          <w:szCs w:val="21"/>
          <w:highlight w:val="none"/>
          <w:u w:val="none"/>
        </w:rPr>
        <w:t>2位，第3位四舍五入，由此产生的差额部分计入基金资产的损益。</w:t>
      </w:r>
    </w:p>
    <w:p>
      <w:pPr>
        <w:pStyle w:val="81"/>
        <w:rPr>
          <w:color w:val="auto"/>
          <w:szCs w:val="21"/>
          <w:highlight w:val="none"/>
          <w:u w:val="none"/>
        </w:rPr>
      </w:pPr>
      <w:r>
        <w:rPr>
          <w:color w:val="auto"/>
          <w:szCs w:val="21"/>
          <w:highlight w:val="none"/>
          <w:u w:val="none"/>
        </w:rPr>
        <w:t>（四）</w:t>
      </w:r>
      <w:r>
        <w:rPr>
          <w:rFonts w:hint="eastAsia"/>
          <w:color w:val="auto"/>
          <w:szCs w:val="21"/>
          <w:highlight w:val="none"/>
          <w:u w:val="none"/>
        </w:rPr>
        <w:t>收益分配方案的确定与公告</w:t>
      </w:r>
    </w:p>
    <w:p>
      <w:pPr>
        <w:pStyle w:val="81"/>
        <w:rPr>
          <w:color w:val="auto"/>
          <w:szCs w:val="21"/>
          <w:highlight w:val="none"/>
          <w:u w:val="none"/>
        </w:rPr>
      </w:pPr>
      <w:r>
        <w:rPr>
          <w:rFonts w:hint="eastAsia"/>
          <w:color w:val="auto"/>
          <w:szCs w:val="21"/>
          <w:highlight w:val="none"/>
          <w:u w:val="none"/>
        </w:rPr>
        <w:t>存续</w:t>
      </w:r>
      <w:r>
        <w:rPr>
          <w:color w:val="auto"/>
          <w:szCs w:val="21"/>
          <w:highlight w:val="none"/>
          <w:u w:val="none"/>
        </w:rPr>
        <w:t>期内，进行收益分配的，管理人</w:t>
      </w:r>
      <w:r>
        <w:rPr>
          <w:rFonts w:hint="eastAsia"/>
          <w:color w:val="auto"/>
          <w:szCs w:val="21"/>
          <w:highlight w:val="none"/>
          <w:u w:val="none"/>
        </w:rPr>
        <w:t>应</w:t>
      </w:r>
      <w:r>
        <w:rPr>
          <w:color w:val="auto"/>
          <w:szCs w:val="21"/>
          <w:highlight w:val="none"/>
          <w:u w:val="none"/>
        </w:rPr>
        <w:t>计算可供分配</w:t>
      </w:r>
      <w:r>
        <w:rPr>
          <w:rFonts w:hint="eastAsia"/>
          <w:color w:val="auto"/>
          <w:szCs w:val="21"/>
          <w:highlight w:val="none"/>
          <w:u w:val="none"/>
        </w:rPr>
        <w:t>利润</w:t>
      </w:r>
      <w:r>
        <w:rPr>
          <w:color w:val="auto"/>
          <w:szCs w:val="21"/>
          <w:highlight w:val="none"/>
          <w:u w:val="none"/>
        </w:rPr>
        <w:t>，并拟定</w:t>
      </w:r>
      <w:r>
        <w:rPr>
          <w:rFonts w:hint="eastAsia"/>
          <w:color w:val="auto"/>
          <w:szCs w:val="21"/>
          <w:highlight w:val="none"/>
          <w:u w:val="none"/>
        </w:rPr>
        <w:t>基金收益分配方案，收益分配方案须载明可供分配利润、分配对象、收益分配基准日、收益分配发放日、分配数额、分配方式等内容。管理人应将分配方案发送给托管人，托管人在收到之日起</w:t>
      </w:r>
      <w:r>
        <w:rPr>
          <w:color w:val="auto"/>
          <w:szCs w:val="21"/>
          <w:highlight w:val="none"/>
          <w:u w:val="none"/>
        </w:rPr>
        <w:t>5</w:t>
      </w:r>
      <w:r>
        <w:rPr>
          <w:rFonts w:hint="eastAsia"/>
          <w:color w:val="auto"/>
          <w:szCs w:val="21"/>
          <w:highlight w:val="none"/>
          <w:u w:val="none"/>
        </w:rPr>
        <w:t>个工作日内完成复核，由管理人按本合同</w:t>
      </w:r>
      <w:r>
        <w:rPr>
          <w:color w:val="auto"/>
          <w:szCs w:val="21"/>
          <w:highlight w:val="none"/>
          <w:u w:val="none"/>
        </w:rPr>
        <w:t>“</w:t>
      </w:r>
      <w:r>
        <w:rPr>
          <w:rFonts w:hint="eastAsia"/>
          <w:color w:val="auto"/>
          <w:szCs w:val="21"/>
          <w:highlight w:val="none"/>
          <w:u w:val="none"/>
        </w:rPr>
        <w:t>信息披露</w:t>
      </w:r>
      <w:r>
        <w:rPr>
          <w:color w:val="auto"/>
          <w:szCs w:val="21"/>
          <w:highlight w:val="none"/>
          <w:u w:val="none"/>
        </w:rPr>
        <w:t>与报告”</w:t>
      </w:r>
      <w:r>
        <w:rPr>
          <w:rFonts w:hint="eastAsia"/>
          <w:color w:val="auto"/>
          <w:szCs w:val="21"/>
          <w:highlight w:val="none"/>
          <w:u w:val="none"/>
        </w:rPr>
        <w:t>章节约定的方式及时向份额持有人披露经复核的收益分配方案。</w:t>
      </w:r>
    </w:p>
    <w:p>
      <w:pPr>
        <w:pStyle w:val="81"/>
        <w:rPr>
          <w:color w:val="auto"/>
          <w:highlight w:val="none"/>
          <w:u w:val="none"/>
        </w:rPr>
      </w:pPr>
      <w:r>
        <w:rPr>
          <w:rFonts w:hint="eastAsia"/>
          <w:color w:val="auto"/>
          <w:szCs w:val="21"/>
          <w:highlight w:val="none"/>
          <w:u w:val="none"/>
        </w:rPr>
        <w:t>托管人仅对收益分配的总金额进行复核，对于在不同投资者之间分配的金额和顺序是否符合合同约定不承担复核义务。</w:t>
      </w:r>
    </w:p>
    <w:p>
      <w:pPr>
        <w:pStyle w:val="81"/>
        <w:rPr>
          <w:color w:val="auto"/>
          <w:highlight w:val="none"/>
          <w:u w:val="none"/>
        </w:rPr>
      </w:pPr>
      <w:r>
        <w:rPr>
          <w:color w:val="auto"/>
          <w:szCs w:val="21"/>
          <w:highlight w:val="none"/>
          <w:u w:val="none"/>
        </w:rPr>
        <w:t>（五）</w:t>
      </w:r>
      <w:r>
        <w:rPr>
          <w:rFonts w:hint="eastAsia"/>
          <w:color w:val="auto"/>
          <w:szCs w:val="21"/>
          <w:highlight w:val="none"/>
          <w:u w:val="none"/>
        </w:rPr>
        <w:t>收益分配方案的</w:t>
      </w:r>
      <w:r>
        <w:rPr>
          <w:color w:val="auto"/>
          <w:szCs w:val="21"/>
          <w:highlight w:val="none"/>
          <w:u w:val="none"/>
        </w:rPr>
        <w:t>执行</w:t>
      </w:r>
    </w:p>
    <w:p>
      <w:pPr>
        <w:pStyle w:val="81"/>
        <w:rPr>
          <w:color w:val="auto"/>
          <w:highlight w:val="none"/>
          <w:u w:val="none"/>
        </w:rPr>
      </w:pPr>
      <w:r>
        <w:rPr>
          <w:rFonts w:hint="eastAsia"/>
          <w:color w:val="auto"/>
          <w:szCs w:val="21"/>
          <w:highlight w:val="none"/>
          <w:u w:val="none"/>
        </w:rPr>
        <w:t>管理人依据收益分配方案的规定向托管人发送划款指令，托管人按照管理人的指令及时将可供分配款项划付至基金募集账户或外包服务机构开立的清算账户，由管理人或其委托的募集账户</w:t>
      </w:r>
      <w:r>
        <w:rPr>
          <w:color w:val="auto"/>
          <w:szCs w:val="21"/>
          <w:highlight w:val="none"/>
          <w:u w:val="none"/>
        </w:rPr>
        <w:t>/</w:t>
      </w:r>
      <w:r>
        <w:rPr>
          <w:rFonts w:hint="eastAsia"/>
          <w:color w:val="auto"/>
          <w:szCs w:val="21"/>
          <w:highlight w:val="none"/>
          <w:u w:val="none"/>
        </w:rPr>
        <w:t>清算账户监督机构向投资者划付具体分配款项。</w:t>
      </w:r>
    </w:p>
    <w:bookmarkEnd w:id="68"/>
    <w:bookmarkEnd w:id="69"/>
    <w:p>
      <w:pPr>
        <w:pStyle w:val="4"/>
        <w:snapToGrid/>
        <w:spacing w:beforeLines="100" w:afterLines="50"/>
        <w:rPr>
          <w:rFonts w:ascii="楷体" w:hAnsi="楷体" w:eastAsia="楷体"/>
          <w:color w:val="auto"/>
          <w:sz w:val="24"/>
          <w:highlight w:val="none"/>
          <w:u w:val="none"/>
        </w:rPr>
      </w:pPr>
      <w:bookmarkStart w:id="70" w:name="_Toc482974544"/>
      <w:r>
        <w:rPr>
          <w:rFonts w:ascii="楷体" w:hAnsi="楷体" w:eastAsia="楷体"/>
          <w:color w:val="auto"/>
          <w:sz w:val="24"/>
          <w:highlight w:val="none"/>
          <w:u w:val="none"/>
        </w:rPr>
        <w:t>第</w:t>
      </w:r>
      <w:r>
        <w:rPr>
          <w:rFonts w:hint="eastAsia" w:ascii="楷体" w:hAnsi="楷体" w:eastAsia="楷体"/>
          <w:color w:val="auto"/>
          <w:sz w:val="24"/>
          <w:highlight w:val="none"/>
          <w:u w:val="none"/>
        </w:rPr>
        <w:t>二</w:t>
      </w:r>
      <w:r>
        <w:rPr>
          <w:rFonts w:ascii="楷体" w:hAnsi="楷体" w:eastAsia="楷体"/>
          <w:color w:val="auto"/>
          <w:sz w:val="24"/>
          <w:highlight w:val="none"/>
          <w:u w:val="none"/>
        </w:rPr>
        <w:t>十节信息披露</w:t>
      </w:r>
      <w:r>
        <w:rPr>
          <w:rFonts w:hint="eastAsia" w:ascii="楷体" w:hAnsi="楷体" w:eastAsia="楷体"/>
          <w:color w:val="auto"/>
          <w:sz w:val="24"/>
          <w:highlight w:val="none"/>
          <w:u w:val="none"/>
        </w:rPr>
        <w:t>与报告</w:t>
      </w:r>
      <w:bookmarkEnd w:id="70"/>
    </w:p>
    <w:p>
      <w:pPr>
        <w:pStyle w:val="47"/>
        <w:numPr>
          <w:ilvl w:val="0"/>
          <w:numId w:val="0"/>
        </w:numPr>
        <w:autoSpaceDE w:val="0"/>
        <w:autoSpaceDN w:val="0"/>
        <w:spacing w:line="360" w:lineRule="auto"/>
        <w:ind w:left="0" w:firstLine="420" w:firstLineChars="0"/>
        <w:rPr>
          <w:rFonts w:ascii="楷体" w:hAnsi="楷体" w:eastAsia="楷体"/>
          <w:color w:val="auto"/>
          <w:szCs w:val="21"/>
          <w:highlight w:val="none"/>
          <w:u w:val="none"/>
        </w:rPr>
      </w:pPr>
      <w:r>
        <w:rPr>
          <w:rFonts w:ascii="楷体" w:hAnsi="楷体" w:eastAsia="楷体"/>
          <w:color w:val="auto"/>
          <w:szCs w:val="21"/>
          <w:highlight w:val="none"/>
          <w:u w:val="none"/>
        </w:rPr>
        <w:t>(</w:t>
      </w:r>
      <w:r>
        <w:rPr>
          <w:rFonts w:hint="eastAsia" w:ascii="楷体" w:hAnsi="楷体" w:eastAsia="楷体"/>
          <w:color w:val="auto"/>
          <w:szCs w:val="21"/>
          <w:highlight w:val="none"/>
          <w:u w:val="none"/>
        </w:rPr>
        <w:t>一</w:t>
      </w:r>
      <w:r>
        <w:rPr>
          <w:rFonts w:ascii="楷体" w:hAnsi="楷体" w:eastAsia="楷体"/>
          <w:color w:val="auto"/>
          <w:szCs w:val="21"/>
          <w:highlight w:val="none"/>
          <w:u w:val="none"/>
        </w:rPr>
        <w:t>)信息披露</w:t>
      </w:r>
      <w:r>
        <w:rPr>
          <w:rFonts w:hint="eastAsia" w:ascii="楷体" w:hAnsi="楷体" w:eastAsia="楷体"/>
          <w:color w:val="auto"/>
          <w:szCs w:val="21"/>
          <w:highlight w:val="none"/>
          <w:u w:val="none"/>
        </w:rPr>
        <w:t>义务人</w:t>
      </w:r>
    </w:p>
    <w:p>
      <w:pPr>
        <w:pStyle w:val="81"/>
        <w:rPr>
          <w:color w:val="auto"/>
          <w:highlight w:val="none"/>
          <w:u w:val="none"/>
        </w:rPr>
      </w:pPr>
      <w:r>
        <w:rPr>
          <w:rFonts w:hint="eastAsia"/>
          <w:color w:val="auto"/>
          <w:szCs w:val="21"/>
          <w:highlight w:val="none"/>
          <w:u w:val="none"/>
        </w:rPr>
        <w:t>本私募基金的信息披露义务人为管理人，除非本合同另有约定，管理人应承担《私募投资基金信息披露管理办法》规定的信息披露义务人的全部职责。</w:t>
      </w:r>
    </w:p>
    <w:p>
      <w:pPr>
        <w:pStyle w:val="81"/>
        <w:rPr>
          <w:color w:val="auto"/>
          <w:highlight w:val="none"/>
          <w:u w:val="none"/>
        </w:rPr>
      </w:pPr>
      <w:r>
        <w:rPr>
          <w:color w:val="auto"/>
          <w:szCs w:val="21"/>
          <w:highlight w:val="none"/>
          <w:u w:val="none"/>
        </w:rPr>
        <w:t>(二)</w:t>
      </w:r>
      <w:r>
        <w:rPr>
          <w:rFonts w:hint="eastAsia"/>
          <w:color w:val="auto"/>
          <w:highlight w:val="none"/>
          <w:u w:val="none"/>
        </w:rPr>
        <w:t>管理人的信息披露</w:t>
      </w:r>
    </w:p>
    <w:p>
      <w:pPr>
        <w:pStyle w:val="81"/>
        <w:rPr>
          <w:color w:val="auto"/>
          <w:highlight w:val="none"/>
          <w:u w:val="none"/>
        </w:rPr>
      </w:pPr>
      <w:r>
        <w:rPr>
          <w:color w:val="auto"/>
          <w:szCs w:val="21"/>
          <w:highlight w:val="none"/>
          <w:u w:val="none"/>
        </w:rPr>
        <w:t>1.</w:t>
      </w:r>
      <w:r>
        <w:rPr>
          <w:rFonts w:hint="eastAsia"/>
          <w:color w:val="auto"/>
          <w:szCs w:val="21"/>
          <w:highlight w:val="none"/>
          <w:u w:val="none"/>
        </w:rPr>
        <w:t>管理人的信息披露</w:t>
      </w:r>
      <w:r>
        <w:rPr>
          <w:color w:val="auto"/>
          <w:szCs w:val="21"/>
          <w:highlight w:val="none"/>
          <w:u w:val="none"/>
        </w:rPr>
        <w:t>的内容和频率</w:t>
      </w:r>
    </w:p>
    <w:p>
      <w:pPr>
        <w:pStyle w:val="81"/>
        <w:rPr>
          <w:color w:val="auto"/>
          <w:highlight w:val="none"/>
          <w:u w:val="none"/>
        </w:rPr>
      </w:pPr>
      <w:r>
        <w:rPr>
          <w:rFonts w:hint="eastAsia"/>
          <w:color w:val="auto"/>
          <w:szCs w:val="21"/>
          <w:highlight w:val="none"/>
          <w:u w:val="none"/>
        </w:rPr>
        <w:t>（</w:t>
      </w:r>
      <w:r>
        <w:rPr>
          <w:color w:val="auto"/>
          <w:szCs w:val="21"/>
          <w:highlight w:val="none"/>
          <w:u w:val="none"/>
        </w:rPr>
        <w:t>1）基金成立公告</w:t>
      </w:r>
    </w:p>
    <w:p>
      <w:pPr>
        <w:pStyle w:val="81"/>
        <w:rPr>
          <w:color w:val="auto"/>
          <w:highlight w:val="none"/>
          <w:u w:val="none"/>
        </w:rPr>
      </w:pPr>
      <w:r>
        <w:rPr>
          <w:rFonts w:hint="eastAsia"/>
          <w:color w:val="auto"/>
          <w:szCs w:val="21"/>
          <w:highlight w:val="none"/>
          <w:u w:val="none"/>
        </w:rPr>
        <w:t>管理人应在本基金成立后</w:t>
      </w:r>
      <w:r>
        <w:rPr>
          <w:color w:val="auto"/>
          <w:szCs w:val="21"/>
          <w:highlight w:val="none"/>
          <w:u w:val="none"/>
        </w:rPr>
        <w:t>5个工作日内在管理人网站就本基金的成立进行公告或以管理人与投资者约定的方式通知投资者。</w:t>
      </w:r>
    </w:p>
    <w:p>
      <w:pPr>
        <w:pStyle w:val="81"/>
        <w:rPr>
          <w:color w:val="auto"/>
          <w:highlight w:val="none"/>
          <w:u w:val="none"/>
        </w:rPr>
      </w:pPr>
      <w:r>
        <w:rPr>
          <w:rFonts w:hint="eastAsia"/>
          <w:color w:val="auto"/>
          <w:szCs w:val="21"/>
          <w:highlight w:val="none"/>
          <w:u w:val="none"/>
        </w:rPr>
        <w:t>（</w:t>
      </w:r>
      <w:r>
        <w:rPr>
          <w:color w:val="auto"/>
          <w:szCs w:val="21"/>
          <w:highlight w:val="none"/>
          <w:u w:val="none"/>
        </w:rPr>
        <w:t>2）</w:t>
      </w:r>
      <w:r>
        <w:rPr>
          <w:rFonts w:hint="eastAsia"/>
          <w:color w:val="auto"/>
          <w:szCs w:val="21"/>
          <w:highlight w:val="none"/>
          <w:u w:val="none"/>
        </w:rPr>
        <w:t>季度报告</w:t>
      </w:r>
    </w:p>
    <w:p>
      <w:pPr>
        <w:pStyle w:val="81"/>
        <w:rPr>
          <w:color w:val="auto"/>
          <w:highlight w:val="none"/>
          <w:u w:val="none"/>
        </w:rPr>
      </w:pPr>
      <w:r>
        <w:rPr>
          <w:color w:val="auto"/>
          <w:szCs w:val="21"/>
          <w:highlight w:val="none"/>
          <w:u w:val="none"/>
        </w:rPr>
        <w:t>自基金成立之日起，管理人于每</w:t>
      </w:r>
      <w:r>
        <w:rPr>
          <w:rFonts w:hint="eastAsia"/>
          <w:color w:val="auto"/>
          <w:szCs w:val="21"/>
          <w:highlight w:val="none"/>
          <w:u w:val="none"/>
        </w:rPr>
        <w:t>季度</w:t>
      </w:r>
      <w:r>
        <w:rPr>
          <w:color w:val="auto"/>
          <w:szCs w:val="21"/>
          <w:highlight w:val="none"/>
          <w:u w:val="none"/>
        </w:rPr>
        <w:t>结束之日起10个工作日内向投资者披露基金净值、主要财务指标以及投资组合情况等信息。</w:t>
      </w:r>
      <w:r>
        <w:rPr>
          <w:rFonts w:hint="eastAsia"/>
          <w:color w:val="auto"/>
          <w:szCs w:val="21"/>
          <w:highlight w:val="none"/>
          <w:u w:val="none"/>
        </w:rPr>
        <w:t>管理人应于每季度结束之日起</w:t>
      </w:r>
      <w:r>
        <w:rPr>
          <w:color w:val="auto"/>
          <w:szCs w:val="21"/>
          <w:highlight w:val="none"/>
          <w:u w:val="none"/>
        </w:rPr>
        <w:t>7个工作日内将上述待披露信息发送给托管人，托管人应于3个工作日内完成复核。</w:t>
      </w:r>
    </w:p>
    <w:p>
      <w:pPr>
        <w:pStyle w:val="81"/>
        <w:rPr>
          <w:color w:val="auto"/>
          <w:highlight w:val="none"/>
          <w:u w:val="none"/>
        </w:rPr>
      </w:pPr>
      <w:r>
        <w:rPr>
          <w:rFonts w:hint="eastAsia"/>
          <w:color w:val="auto"/>
          <w:szCs w:val="21"/>
          <w:highlight w:val="none"/>
          <w:u w:val="none"/>
        </w:rPr>
        <w:t>（</w:t>
      </w:r>
      <w:r>
        <w:rPr>
          <w:color w:val="auto"/>
          <w:szCs w:val="21"/>
          <w:highlight w:val="none"/>
          <w:u w:val="none"/>
        </w:rPr>
        <w:t>3）年度报告</w:t>
      </w:r>
    </w:p>
    <w:p>
      <w:pPr>
        <w:pStyle w:val="81"/>
        <w:rPr>
          <w:color w:val="auto"/>
          <w:szCs w:val="21"/>
          <w:highlight w:val="none"/>
          <w:u w:val="none"/>
        </w:rPr>
      </w:pPr>
      <w:r>
        <w:rPr>
          <w:color w:val="auto"/>
          <w:szCs w:val="21"/>
          <w:highlight w:val="none"/>
          <w:u w:val="none"/>
        </w:rPr>
        <w:t>自基金成立之日起，管理人于每个自然年度结束之日起4个月内向投资者披露</w:t>
      </w:r>
      <w:r>
        <w:rPr>
          <w:rFonts w:hint="eastAsia"/>
          <w:color w:val="auto"/>
          <w:szCs w:val="21"/>
          <w:highlight w:val="none"/>
          <w:u w:val="none"/>
        </w:rPr>
        <w:t>本私募基金年度报告，报告应包括如下内容：</w:t>
      </w:r>
    </w:p>
    <w:p>
      <w:pPr>
        <w:pStyle w:val="81"/>
        <w:rPr>
          <w:color w:val="auto"/>
          <w:szCs w:val="21"/>
          <w:highlight w:val="none"/>
          <w:u w:val="none"/>
        </w:rPr>
      </w:pPr>
      <w:r>
        <w:rPr>
          <w:color w:val="auto"/>
          <w:szCs w:val="21"/>
          <w:highlight w:val="none"/>
          <w:u w:val="none"/>
        </w:rPr>
        <w:t>A.</w:t>
      </w:r>
      <w:r>
        <w:rPr>
          <w:rFonts w:hint="eastAsia"/>
          <w:color w:val="auto"/>
          <w:szCs w:val="21"/>
          <w:highlight w:val="none"/>
          <w:u w:val="none"/>
        </w:rPr>
        <w:t>报告期末本私募基金净值和基金份额总额；</w:t>
      </w:r>
    </w:p>
    <w:p>
      <w:pPr>
        <w:pStyle w:val="81"/>
        <w:rPr>
          <w:color w:val="auto"/>
          <w:szCs w:val="21"/>
          <w:highlight w:val="none"/>
          <w:u w:val="none"/>
        </w:rPr>
      </w:pPr>
      <w:r>
        <w:rPr>
          <w:color w:val="auto"/>
          <w:szCs w:val="21"/>
          <w:highlight w:val="none"/>
          <w:u w:val="none"/>
        </w:rPr>
        <w:t>B.</w:t>
      </w:r>
      <w:r>
        <w:rPr>
          <w:rFonts w:hint="eastAsia"/>
          <w:color w:val="auto"/>
          <w:szCs w:val="21"/>
          <w:highlight w:val="none"/>
          <w:u w:val="none"/>
        </w:rPr>
        <w:t>本私募基金的财务情况；</w:t>
      </w:r>
    </w:p>
    <w:p>
      <w:pPr>
        <w:pStyle w:val="81"/>
        <w:rPr>
          <w:color w:val="auto"/>
          <w:szCs w:val="21"/>
          <w:highlight w:val="none"/>
          <w:u w:val="none"/>
        </w:rPr>
      </w:pPr>
      <w:r>
        <w:rPr>
          <w:color w:val="auto"/>
          <w:szCs w:val="21"/>
          <w:highlight w:val="none"/>
          <w:u w:val="none"/>
        </w:rPr>
        <w:t>C.</w:t>
      </w:r>
      <w:r>
        <w:rPr>
          <w:rFonts w:hint="eastAsia"/>
          <w:color w:val="auto"/>
          <w:szCs w:val="21"/>
          <w:highlight w:val="none"/>
          <w:u w:val="none"/>
        </w:rPr>
        <w:t>本私募基金投资运作情况；</w:t>
      </w:r>
    </w:p>
    <w:p>
      <w:pPr>
        <w:pStyle w:val="81"/>
        <w:rPr>
          <w:color w:val="auto"/>
          <w:highlight w:val="none"/>
          <w:u w:val="none"/>
        </w:rPr>
      </w:pPr>
      <w:r>
        <w:rPr>
          <w:color w:val="auto"/>
          <w:szCs w:val="21"/>
          <w:highlight w:val="none"/>
          <w:u w:val="none"/>
        </w:rPr>
        <w:t>D.</w:t>
      </w:r>
      <w:r>
        <w:rPr>
          <w:rFonts w:hint="eastAsia"/>
          <w:color w:val="auto"/>
          <w:szCs w:val="21"/>
          <w:highlight w:val="none"/>
          <w:u w:val="none"/>
        </w:rPr>
        <w:t>本私募投资基金投资者账户信息，包括实缴出资额、未缴出资额以及报告期末所持有基金份额总额等；</w:t>
      </w:r>
    </w:p>
    <w:p>
      <w:pPr>
        <w:pStyle w:val="81"/>
        <w:rPr>
          <w:color w:val="auto"/>
          <w:highlight w:val="none"/>
          <w:u w:val="none"/>
        </w:rPr>
      </w:pPr>
      <w:r>
        <w:rPr>
          <w:color w:val="auto"/>
          <w:szCs w:val="21"/>
          <w:highlight w:val="none"/>
          <w:u w:val="none"/>
        </w:rPr>
        <w:t>E.</w:t>
      </w:r>
      <w:r>
        <w:rPr>
          <w:rFonts w:hint="eastAsia"/>
          <w:color w:val="auto"/>
          <w:szCs w:val="21"/>
          <w:highlight w:val="none"/>
          <w:u w:val="none"/>
        </w:rPr>
        <w:t>投资收益分配和损失承担情况；</w:t>
      </w:r>
    </w:p>
    <w:p>
      <w:pPr>
        <w:pStyle w:val="81"/>
        <w:rPr>
          <w:color w:val="auto"/>
          <w:highlight w:val="none"/>
          <w:u w:val="none"/>
        </w:rPr>
      </w:pPr>
      <w:r>
        <w:rPr>
          <w:color w:val="auto"/>
          <w:szCs w:val="21"/>
          <w:highlight w:val="none"/>
          <w:u w:val="none"/>
        </w:rPr>
        <w:t>F.</w:t>
      </w:r>
      <w:r>
        <w:rPr>
          <w:rFonts w:hint="eastAsia"/>
          <w:color w:val="auto"/>
          <w:szCs w:val="21"/>
          <w:highlight w:val="none"/>
          <w:u w:val="none"/>
        </w:rPr>
        <w:t>管理人取得的管理费和业绩报酬，包括计提基准、计提方式和支付方式。</w:t>
      </w:r>
    </w:p>
    <w:p>
      <w:pPr>
        <w:pStyle w:val="81"/>
        <w:rPr>
          <w:color w:val="auto"/>
          <w:highlight w:val="none"/>
          <w:u w:val="none"/>
        </w:rPr>
      </w:pPr>
      <w:r>
        <w:rPr>
          <w:rFonts w:hint="eastAsia"/>
          <w:color w:val="auto"/>
          <w:szCs w:val="21"/>
          <w:highlight w:val="none"/>
          <w:u w:val="none"/>
        </w:rPr>
        <w:t>私募</w:t>
      </w:r>
      <w:r>
        <w:rPr>
          <w:color w:val="auto"/>
          <w:szCs w:val="21"/>
          <w:highlight w:val="none"/>
          <w:u w:val="none"/>
        </w:rPr>
        <w:t>基金成立不满3个月的，不编制当期的</w:t>
      </w:r>
      <w:r>
        <w:rPr>
          <w:rFonts w:hint="eastAsia"/>
          <w:color w:val="auto"/>
          <w:szCs w:val="21"/>
          <w:highlight w:val="none"/>
          <w:u w:val="none"/>
        </w:rPr>
        <w:t>私募</w:t>
      </w:r>
      <w:r>
        <w:rPr>
          <w:color w:val="auto"/>
          <w:szCs w:val="21"/>
          <w:highlight w:val="none"/>
          <w:u w:val="none"/>
        </w:rPr>
        <w:t>基金年度报告。</w:t>
      </w:r>
      <w:r>
        <w:rPr>
          <w:rFonts w:hint="eastAsia"/>
          <w:color w:val="auto"/>
          <w:szCs w:val="21"/>
          <w:highlight w:val="none"/>
          <w:u w:val="none"/>
        </w:rPr>
        <w:t>管理人应于每个自然年度结束之日起</w:t>
      </w:r>
      <w:r>
        <w:rPr>
          <w:color w:val="auto"/>
          <w:szCs w:val="21"/>
          <w:highlight w:val="none"/>
          <w:u w:val="none"/>
        </w:rPr>
        <w:t>70个工作日内编制完成本私募基金年度报告，并发送给托管人，托管人应于收到本私募</w:t>
      </w:r>
      <w:r>
        <w:rPr>
          <w:rFonts w:hint="eastAsia"/>
          <w:color w:val="auto"/>
          <w:szCs w:val="21"/>
          <w:highlight w:val="none"/>
          <w:u w:val="none"/>
        </w:rPr>
        <w:t>基金年度报告之日起</w:t>
      </w:r>
      <w:r>
        <w:rPr>
          <w:color w:val="auto"/>
          <w:szCs w:val="21"/>
          <w:highlight w:val="none"/>
          <w:u w:val="none"/>
        </w:rPr>
        <w:t>10个工作日内完成复核。</w:t>
      </w:r>
    </w:p>
    <w:p>
      <w:pPr>
        <w:pStyle w:val="81"/>
        <w:rPr>
          <w:color w:val="auto"/>
          <w:highlight w:val="none"/>
          <w:u w:val="none"/>
        </w:rPr>
      </w:pPr>
      <w:r>
        <w:rPr>
          <w:rFonts w:hint="eastAsia"/>
          <w:color w:val="auto"/>
          <w:szCs w:val="21"/>
          <w:highlight w:val="none"/>
          <w:u w:val="none"/>
        </w:rPr>
        <w:t>（</w:t>
      </w:r>
      <w:r>
        <w:rPr>
          <w:color w:val="auto"/>
          <w:szCs w:val="21"/>
          <w:highlight w:val="none"/>
          <w:u w:val="none"/>
        </w:rPr>
        <w:t>4）净值报告</w:t>
      </w:r>
    </w:p>
    <w:p>
      <w:pPr>
        <w:pStyle w:val="81"/>
        <w:rPr>
          <w:color w:val="auto"/>
          <w:highlight w:val="none"/>
          <w:u w:val="none"/>
        </w:rPr>
      </w:pPr>
      <w:r>
        <w:rPr>
          <w:rFonts w:hint="eastAsia"/>
          <w:color w:val="auto"/>
          <w:szCs w:val="21"/>
          <w:highlight w:val="none"/>
          <w:u w:val="none"/>
        </w:rPr>
        <w:t>若本私募基金管理规模金额达到</w:t>
      </w:r>
      <w:r>
        <w:rPr>
          <w:color w:val="auto"/>
          <w:szCs w:val="21"/>
          <w:highlight w:val="none"/>
          <w:u w:val="none"/>
        </w:rPr>
        <w:t>5000万元以上的，管理人应于基金存续期间内每</w:t>
      </w:r>
      <w:r>
        <w:rPr>
          <w:rFonts w:hint="eastAsia"/>
          <w:color w:val="auto"/>
          <w:szCs w:val="21"/>
          <w:highlight w:val="none"/>
          <w:u w:val="none"/>
        </w:rPr>
        <w:t>月结束</w:t>
      </w:r>
      <w:r>
        <w:rPr>
          <w:color w:val="auto"/>
          <w:szCs w:val="21"/>
          <w:highlight w:val="none"/>
          <w:u w:val="none"/>
        </w:rPr>
        <w:t>后的5个工作日内向投资者披露</w:t>
      </w:r>
      <w:r>
        <w:rPr>
          <w:rFonts w:hint="eastAsia"/>
          <w:color w:val="auto"/>
          <w:szCs w:val="21"/>
          <w:highlight w:val="none"/>
          <w:u w:val="none"/>
        </w:rPr>
        <w:t>最近</w:t>
      </w:r>
      <w:r>
        <w:rPr>
          <w:color w:val="auto"/>
          <w:szCs w:val="21"/>
          <w:highlight w:val="none"/>
          <w:u w:val="none"/>
        </w:rPr>
        <w:t>估值</w:t>
      </w:r>
      <w:r>
        <w:rPr>
          <w:rFonts w:hint="eastAsia"/>
          <w:color w:val="auto"/>
          <w:szCs w:val="21"/>
          <w:highlight w:val="none"/>
          <w:u w:val="none"/>
        </w:rPr>
        <w:t>核对</w:t>
      </w:r>
      <w:r>
        <w:rPr>
          <w:color w:val="auto"/>
          <w:szCs w:val="21"/>
          <w:highlight w:val="none"/>
          <w:u w:val="none"/>
        </w:rPr>
        <w:t>日的基金份额净值。</w:t>
      </w:r>
    </w:p>
    <w:p>
      <w:pPr>
        <w:pStyle w:val="81"/>
        <w:rPr>
          <w:color w:val="auto"/>
          <w:highlight w:val="none"/>
          <w:u w:val="none"/>
        </w:rPr>
      </w:pPr>
      <w:r>
        <w:rPr>
          <w:rFonts w:hint="eastAsia"/>
          <w:color w:val="auto"/>
          <w:szCs w:val="21"/>
          <w:highlight w:val="none"/>
          <w:u w:val="none"/>
        </w:rPr>
        <w:t>（</w:t>
      </w:r>
      <w:r>
        <w:rPr>
          <w:color w:val="auto"/>
          <w:szCs w:val="21"/>
          <w:highlight w:val="none"/>
          <w:u w:val="none"/>
        </w:rPr>
        <w:t>5）</w:t>
      </w:r>
      <w:r>
        <w:rPr>
          <w:rFonts w:hint="eastAsia"/>
          <w:color w:val="auto"/>
          <w:szCs w:val="21"/>
          <w:highlight w:val="none"/>
          <w:u w:val="none"/>
        </w:rPr>
        <w:t>临时报告</w:t>
      </w:r>
    </w:p>
    <w:p>
      <w:pPr>
        <w:pStyle w:val="81"/>
        <w:rPr>
          <w:color w:val="auto"/>
          <w:highlight w:val="none"/>
          <w:u w:val="none"/>
        </w:rPr>
      </w:pPr>
      <w:r>
        <w:rPr>
          <w:rFonts w:hint="eastAsia"/>
          <w:color w:val="auto"/>
          <w:szCs w:val="21"/>
          <w:highlight w:val="none"/>
          <w:u w:val="none"/>
        </w:rPr>
        <w:t>发生以下重大事项的，管理人应当及时向投资者披露：</w:t>
      </w:r>
    </w:p>
    <w:p>
      <w:pPr>
        <w:pStyle w:val="81"/>
        <w:rPr>
          <w:color w:val="auto"/>
          <w:highlight w:val="none"/>
          <w:u w:val="none"/>
        </w:rPr>
      </w:pPr>
      <w:r>
        <w:rPr>
          <w:color w:val="auto"/>
          <w:szCs w:val="21"/>
          <w:highlight w:val="none"/>
          <w:u w:val="none"/>
        </w:rPr>
        <w:t>A.</w:t>
      </w:r>
      <w:r>
        <w:rPr>
          <w:rFonts w:hint="eastAsia"/>
          <w:color w:val="auto"/>
          <w:szCs w:val="21"/>
          <w:highlight w:val="none"/>
          <w:u w:val="none"/>
        </w:rPr>
        <w:t>本私募基金名称、注册地址、组织形式发生变更的；</w:t>
      </w:r>
    </w:p>
    <w:p>
      <w:pPr>
        <w:pStyle w:val="81"/>
        <w:rPr>
          <w:color w:val="auto"/>
          <w:highlight w:val="none"/>
          <w:u w:val="none"/>
        </w:rPr>
      </w:pPr>
      <w:r>
        <w:rPr>
          <w:color w:val="auto"/>
          <w:szCs w:val="21"/>
          <w:highlight w:val="none"/>
          <w:u w:val="none"/>
        </w:rPr>
        <w:t>B.</w:t>
      </w:r>
      <w:r>
        <w:rPr>
          <w:rFonts w:hint="eastAsia"/>
          <w:color w:val="auto"/>
          <w:szCs w:val="21"/>
          <w:highlight w:val="none"/>
          <w:u w:val="none"/>
        </w:rPr>
        <w:t>投资范围和投资策略发生重大变化的；</w:t>
      </w:r>
    </w:p>
    <w:p>
      <w:pPr>
        <w:pStyle w:val="81"/>
        <w:rPr>
          <w:color w:val="auto"/>
          <w:szCs w:val="21"/>
          <w:highlight w:val="none"/>
          <w:u w:val="none"/>
        </w:rPr>
      </w:pPr>
      <w:r>
        <w:rPr>
          <w:color w:val="auto"/>
          <w:szCs w:val="21"/>
          <w:highlight w:val="none"/>
          <w:u w:val="none"/>
        </w:rPr>
        <w:t>C.</w:t>
      </w:r>
      <w:r>
        <w:rPr>
          <w:rFonts w:hint="eastAsia"/>
          <w:color w:val="auto"/>
          <w:szCs w:val="21"/>
          <w:highlight w:val="none"/>
          <w:u w:val="none"/>
        </w:rPr>
        <w:t>变更本私募基金管理人或托管人的；</w:t>
      </w:r>
    </w:p>
    <w:p>
      <w:pPr>
        <w:pStyle w:val="81"/>
        <w:rPr>
          <w:color w:val="auto"/>
          <w:szCs w:val="21"/>
          <w:highlight w:val="none"/>
          <w:u w:val="none"/>
        </w:rPr>
      </w:pPr>
      <w:r>
        <w:rPr>
          <w:color w:val="auto"/>
          <w:szCs w:val="21"/>
          <w:highlight w:val="none"/>
          <w:u w:val="none"/>
        </w:rPr>
        <w:t>D.</w:t>
      </w:r>
      <w:r>
        <w:rPr>
          <w:rFonts w:hint="eastAsia"/>
          <w:color w:val="auto"/>
          <w:szCs w:val="21"/>
          <w:highlight w:val="none"/>
          <w:u w:val="none"/>
        </w:rPr>
        <w:t>管理人的法定代表人、执行事务合伙人（委派代表）、实际控制人发生变更的；</w:t>
      </w:r>
    </w:p>
    <w:p>
      <w:pPr>
        <w:pStyle w:val="81"/>
        <w:rPr>
          <w:color w:val="auto"/>
          <w:szCs w:val="21"/>
          <w:highlight w:val="none"/>
          <w:u w:val="none"/>
        </w:rPr>
      </w:pPr>
      <w:r>
        <w:rPr>
          <w:color w:val="auto"/>
          <w:szCs w:val="21"/>
          <w:highlight w:val="none"/>
          <w:u w:val="none"/>
        </w:rPr>
        <w:t>E.</w:t>
      </w:r>
      <w:r>
        <w:rPr>
          <w:rFonts w:hint="eastAsia"/>
          <w:color w:val="auto"/>
          <w:szCs w:val="21"/>
          <w:highlight w:val="none"/>
          <w:u w:val="none"/>
        </w:rPr>
        <w:t>触及本私募基金止损线或预警线（如有）的；</w:t>
      </w:r>
    </w:p>
    <w:p>
      <w:pPr>
        <w:pStyle w:val="81"/>
        <w:rPr>
          <w:color w:val="auto"/>
          <w:szCs w:val="21"/>
          <w:highlight w:val="none"/>
          <w:u w:val="none"/>
        </w:rPr>
      </w:pPr>
      <w:r>
        <w:rPr>
          <w:color w:val="auto"/>
          <w:szCs w:val="21"/>
          <w:highlight w:val="none"/>
          <w:u w:val="none"/>
        </w:rPr>
        <w:t>F.</w:t>
      </w:r>
      <w:r>
        <w:rPr>
          <w:rFonts w:hint="eastAsia"/>
          <w:color w:val="auto"/>
          <w:szCs w:val="21"/>
          <w:highlight w:val="none"/>
          <w:u w:val="none"/>
        </w:rPr>
        <w:t>管理费率、托管费率或本合同约定的其他费率发生变化的；</w:t>
      </w:r>
    </w:p>
    <w:p>
      <w:pPr>
        <w:pStyle w:val="81"/>
        <w:rPr>
          <w:color w:val="auto"/>
          <w:szCs w:val="21"/>
          <w:highlight w:val="none"/>
          <w:u w:val="none"/>
        </w:rPr>
      </w:pPr>
      <w:r>
        <w:rPr>
          <w:color w:val="auto"/>
          <w:szCs w:val="21"/>
          <w:highlight w:val="none"/>
          <w:u w:val="none"/>
        </w:rPr>
        <w:t>G.</w:t>
      </w:r>
      <w:r>
        <w:rPr>
          <w:rFonts w:hint="eastAsia"/>
          <w:color w:val="auto"/>
          <w:szCs w:val="21"/>
          <w:highlight w:val="none"/>
          <w:u w:val="none"/>
        </w:rPr>
        <w:t>本私募基金收益分配事项发生变更的；</w:t>
      </w:r>
    </w:p>
    <w:p>
      <w:pPr>
        <w:pStyle w:val="81"/>
        <w:rPr>
          <w:color w:val="auto"/>
          <w:szCs w:val="21"/>
          <w:highlight w:val="none"/>
          <w:u w:val="none"/>
        </w:rPr>
      </w:pPr>
      <w:r>
        <w:rPr>
          <w:color w:val="auto"/>
          <w:szCs w:val="21"/>
          <w:highlight w:val="none"/>
          <w:u w:val="none"/>
        </w:rPr>
        <w:t>H.</w:t>
      </w:r>
      <w:r>
        <w:rPr>
          <w:rFonts w:hint="eastAsia"/>
          <w:color w:val="auto"/>
          <w:szCs w:val="21"/>
          <w:highlight w:val="none"/>
          <w:u w:val="none"/>
        </w:rPr>
        <w:t>本私募基金触发巨额赎回的；</w:t>
      </w:r>
    </w:p>
    <w:p>
      <w:pPr>
        <w:pStyle w:val="81"/>
        <w:rPr>
          <w:color w:val="auto"/>
          <w:szCs w:val="21"/>
          <w:highlight w:val="none"/>
          <w:u w:val="none"/>
        </w:rPr>
      </w:pPr>
      <w:r>
        <w:rPr>
          <w:color w:val="auto"/>
          <w:szCs w:val="21"/>
          <w:highlight w:val="none"/>
          <w:u w:val="none"/>
        </w:rPr>
        <w:t>I.</w:t>
      </w:r>
      <w:r>
        <w:rPr>
          <w:rFonts w:hint="eastAsia"/>
          <w:color w:val="auto"/>
          <w:szCs w:val="21"/>
          <w:highlight w:val="none"/>
          <w:u w:val="none"/>
        </w:rPr>
        <w:t>本私募基金存续期变更或展期的；</w:t>
      </w:r>
    </w:p>
    <w:p>
      <w:pPr>
        <w:pStyle w:val="81"/>
        <w:rPr>
          <w:color w:val="auto"/>
          <w:highlight w:val="none"/>
          <w:u w:val="none"/>
        </w:rPr>
      </w:pPr>
      <w:r>
        <w:rPr>
          <w:color w:val="auto"/>
          <w:szCs w:val="21"/>
          <w:highlight w:val="none"/>
          <w:u w:val="none"/>
        </w:rPr>
        <w:t>J.</w:t>
      </w:r>
      <w:r>
        <w:rPr>
          <w:rFonts w:hint="eastAsia"/>
          <w:color w:val="auto"/>
          <w:szCs w:val="21"/>
          <w:highlight w:val="none"/>
          <w:u w:val="none"/>
        </w:rPr>
        <w:t>本私募基金发生清盘或清算的；</w:t>
      </w:r>
    </w:p>
    <w:p>
      <w:pPr>
        <w:pStyle w:val="81"/>
        <w:rPr>
          <w:color w:val="auto"/>
          <w:highlight w:val="none"/>
          <w:u w:val="none"/>
        </w:rPr>
      </w:pPr>
      <w:r>
        <w:rPr>
          <w:color w:val="auto"/>
          <w:szCs w:val="21"/>
          <w:highlight w:val="none"/>
          <w:u w:val="none"/>
        </w:rPr>
        <w:t>K.</w:t>
      </w:r>
      <w:r>
        <w:rPr>
          <w:rFonts w:hint="eastAsia"/>
          <w:color w:val="auto"/>
          <w:szCs w:val="21"/>
          <w:highlight w:val="none"/>
          <w:u w:val="none"/>
        </w:rPr>
        <w:t>本私募基金发生重大关联交易事项的；</w:t>
      </w:r>
    </w:p>
    <w:p>
      <w:pPr>
        <w:pStyle w:val="81"/>
        <w:rPr>
          <w:color w:val="auto"/>
          <w:highlight w:val="none"/>
          <w:u w:val="none"/>
        </w:rPr>
      </w:pPr>
      <w:r>
        <w:rPr>
          <w:color w:val="auto"/>
          <w:szCs w:val="21"/>
          <w:highlight w:val="none"/>
          <w:u w:val="none"/>
        </w:rPr>
        <w:t>L.</w:t>
      </w:r>
      <w:r>
        <w:rPr>
          <w:rFonts w:hint="eastAsia"/>
          <w:color w:val="auto"/>
          <w:szCs w:val="21"/>
          <w:highlight w:val="none"/>
          <w:u w:val="none"/>
        </w:rPr>
        <w:t>本私募基金管理人、实际控制人、高管人员涉嫌重大违法违规行为或正在接受监管部门或自律管理部门调查的；</w:t>
      </w:r>
    </w:p>
    <w:p>
      <w:pPr>
        <w:pStyle w:val="81"/>
        <w:rPr>
          <w:color w:val="auto"/>
          <w:highlight w:val="none"/>
          <w:u w:val="none"/>
        </w:rPr>
      </w:pPr>
      <w:r>
        <w:rPr>
          <w:color w:val="auto"/>
          <w:szCs w:val="21"/>
          <w:highlight w:val="none"/>
          <w:u w:val="none"/>
        </w:rPr>
        <w:t>M.</w:t>
      </w:r>
      <w:r>
        <w:rPr>
          <w:rFonts w:hint="eastAsia"/>
          <w:color w:val="auto"/>
          <w:szCs w:val="21"/>
          <w:highlight w:val="none"/>
          <w:u w:val="none"/>
        </w:rPr>
        <w:t>涉及私募基金管理业务、基金财产、基金托管业务的重大诉讼、仲裁；</w:t>
      </w:r>
    </w:p>
    <w:p>
      <w:pPr>
        <w:pStyle w:val="81"/>
        <w:rPr>
          <w:color w:val="auto"/>
          <w:highlight w:val="none"/>
          <w:u w:val="none"/>
        </w:rPr>
      </w:pPr>
      <w:r>
        <w:rPr>
          <w:color w:val="auto"/>
          <w:szCs w:val="21"/>
          <w:highlight w:val="none"/>
          <w:u w:val="none"/>
        </w:rPr>
        <w:t>N.</w:t>
      </w:r>
      <w:r>
        <w:rPr>
          <w:rFonts w:hint="eastAsia"/>
          <w:color w:val="auto"/>
          <w:szCs w:val="21"/>
          <w:highlight w:val="none"/>
          <w:u w:val="none"/>
        </w:rPr>
        <w:t>影响投资者利益的其他重大事项。</w:t>
      </w:r>
    </w:p>
    <w:p>
      <w:pPr>
        <w:pStyle w:val="81"/>
        <w:rPr>
          <w:color w:val="auto"/>
          <w:highlight w:val="none"/>
          <w:u w:val="none"/>
        </w:rPr>
      </w:pPr>
      <w:r>
        <w:rPr>
          <w:rFonts w:hint="eastAsia"/>
          <w:color w:val="auto"/>
          <w:szCs w:val="21"/>
          <w:highlight w:val="none"/>
          <w:u w:val="none"/>
        </w:rPr>
        <w:t>（</w:t>
      </w:r>
      <w:r>
        <w:rPr>
          <w:color w:val="auto"/>
          <w:szCs w:val="21"/>
          <w:highlight w:val="none"/>
          <w:u w:val="none"/>
        </w:rPr>
        <w:t>6）清算报告</w:t>
      </w:r>
    </w:p>
    <w:p>
      <w:pPr>
        <w:pStyle w:val="81"/>
        <w:rPr>
          <w:color w:val="auto"/>
          <w:highlight w:val="none"/>
          <w:u w:val="none"/>
        </w:rPr>
      </w:pPr>
      <w:r>
        <w:rPr>
          <w:color w:val="auto"/>
          <w:szCs w:val="21"/>
          <w:highlight w:val="none"/>
          <w:u w:val="none"/>
        </w:rPr>
        <w:t>管理人应于基金终止后做出处理基金事务的清算报告，经托管人复核后向投资者进行披露。全体投资者同意管理人可出具未经审计的清算报告。</w:t>
      </w:r>
    </w:p>
    <w:p>
      <w:pPr>
        <w:pStyle w:val="81"/>
        <w:rPr>
          <w:color w:val="auto"/>
          <w:szCs w:val="21"/>
          <w:highlight w:val="none"/>
          <w:u w:val="none"/>
        </w:rPr>
      </w:pPr>
      <w:r>
        <w:rPr>
          <w:rFonts w:hint="eastAsia"/>
          <w:color w:val="auto"/>
          <w:szCs w:val="21"/>
          <w:highlight w:val="none"/>
          <w:u w:val="none"/>
        </w:rPr>
        <w:t>（</w:t>
      </w:r>
      <w:r>
        <w:rPr>
          <w:color w:val="auto"/>
          <w:szCs w:val="21"/>
          <w:highlight w:val="none"/>
          <w:u w:val="none"/>
        </w:rPr>
        <w:t>7）</w:t>
      </w:r>
      <w:r>
        <w:rPr>
          <w:rFonts w:hint="eastAsia"/>
          <w:color w:val="auto"/>
          <w:szCs w:val="21"/>
          <w:highlight w:val="none"/>
          <w:u w:val="none"/>
        </w:rPr>
        <w:t>其他</w:t>
      </w:r>
    </w:p>
    <w:p>
      <w:pPr>
        <w:pStyle w:val="81"/>
        <w:rPr>
          <w:color w:val="auto"/>
          <w:szCs w:val="21"/>
          <w:highlight w:val="none"/>
          <w:u w:val="none"/>
        </w:rPr>
      </w:pPr>
      <w:r>
        <w:rPr>
          <w:rFonts w:hint="eastAsia"/>
          <w:color w:val="auto"/>
          <w:szCs w:val="21"/>
          <w:highlight w:val="none"/>
          <w:u w:val="none"/>
        </w:rPr>
        <w:t>管理人应承担相关法律法规、监管规则以及《私募投资基金信息披露管理办法》要求的其他信息披露义务。</w:t>
      </w:r>
    </w:p>
    <w:p>
      <w:pPr>
        <w:pStyle w:val="81"/>
        <w:rPr>
          <w:color w:val="auto"/>
          <w:szCs w:val="21"/>
          <w:highlight w:val="none"/>
          <w:u w:val="none"/>
        </w:rPr>
      </w:pPr>
      <w:r>
        <w:rPr>
          <w:color w:val="auto"/>
          <w:szCs w:val="21"/>
          <w:highlight w:val="none"/>
          <w:u w:val="none"/>
        </w:rPr>
        <w:t>2.</w:t>
      </w:r>
      <w:r>
        <w:rPr>
          <w:rFonts w:hint="eastAsia"/>
          <w:color w:val="auto"/>
          <w:szCs w:val="21"/>
          <w:highlight w:val="none"/>
          <w:u w:val="none"/>
        </w:rPr>
        <w:t>管理人的</w:t>
      </w:r>
      <w:r>
        <w:rPr>
          <w:color w:val="auto"/>
          <w:szCs w:val="21"/>
          <w:highlight w:val="none"/>
          <w:u w:val="none"/>
        </w:rPr>
        <w:t>信息披露的方式</w:t>
      </w:r>
    </w:p>
    <w:p>
      <w:pPr>
        <w:pStyle w:val="81"/>
        <w:rPr>
          <w:color w:val="auto"/>
          <w:highlight w:val="none"/>
          <w:u w:val="none"/>
        </w:rPr>
      </w:pPr>
      <w:r>
        <w:rPr>
          <w:color w:val="auto"/>
          <w:szCs w:val="21"/>
          <w:highlight w:val="none"/>
          <w:u w:val="none"/>
        </w:rPr>
        <w:t>本基金的信息披露</w:t>
      </w:r>
      <w:r>
        <w:rPr>
          <w:rFonts w:hint="eastAsia"/>
          <w:color w:val="auto"/>
          <w:szCs w:val="21"/>
          <w:highlight w:val="none"/>
          <w:u w:val="none"/>
        </w:rPr>
        <w:t>，管理人</w:t>
      </w:r>
      <w:r>
        <w:rPr>
          <w:color w:val="auto"/>
          <w:szCs w:val="21"/>
          <w:highlight w:val="none"/>
          <w:u w:val="none"/>
        </w:rPr>
        <w:t>可选择下列任何一种</w:t>
      </w:r>
      <w:r>
        <w:rPr>
          <w:rFonts w:hint="eastAsia"/>
          <w:color w:val="auto"/>
          <w:szCs w:val="21"/>
          <w:highlight w:val="none"/>
          <w:u w:val="none"/>
        </w:rPr>
        <w:t>或多种</w:t>
      </w:r>
      <w:r>
        <w:rPr>
          <w:color w:val="auto"/>
          <w:szCs w:val="21"/>
          <w:highlight w:val="none"/>
          <w:u w:val="none"/>
        </w:rPr>
        <w:t>方式进行：</w:t>
      </w:r>
    </w:p>
    <w:p>
      <w:pPr>
        <w:pStyle w:val="81"/>
        <w:rPr>
          <w:color w:val="auto"/>
          <w:highlight w:val="none"/>
          <w:u w:val="none"/>
        </w:rPr>
      </w:pPr>
      <w:r>
        <w:rPr>
          <w:rFonts w:hint="eastAsia"/>
          <w:color w:val="auto"/>
          <w:szCs w:val="21"/>
          <w:highlight w:val="none"/>
          <w:u w:val="none"/>
        </w:rPr>
        <w:t>（</w:t>
      </w:r>
      <w:r>
        <w:rPr>
          <w:color w:val="auto"/>
          <w:szCs w:val="21"/>
          <w:highlight w:val="none"/>
          <w:u w:val="none"/>
        </w:rPr>
        <w:t>1）管理人网站</w:t>
      </w:r>
    </w:p>
    <w:p>
      <w:pPr>
        <w:pStyle w:val="81"/>
        <w:rPr>
          <w:color w:val="auto"/>
          <w:highlight w:val="none"/>
          <w:u w:val="none"/>
        </w:rPr>
      </w:pPr>
      <w:r>
        <w:rPr>
          <w:color w:val="auto"/>
          <w:szCs w:val="21"/>
          <w:highlight w:val="none"/>
          <w:u w:val="none"/>
        </w:rPr>
        <w:t>在管理人网站上披露定期报告、临时报告等有关本基金的信息。</w:t>
      </w:r>
    </w:p>
    <w:p>
      <w:pPr>
        <w:pStyle w:val="81"/>
        <w:rPr>
          <w:color w:val="auto"/>
          <w:highlight w:val="none"/>
          <w:u w:val="none"/>
        </w:rPr>
      </w:pPr>
      <w:r>
        <w:rPr>
          <w:rFonts w:hint="eastAsia"/>
          <w:color w:val="auto"/>
          <w:szCs w:val="21"/>
          <w:highlight w:val="none"/>
          <w:u w:val="none"/>
        </w:rPr>
        <w:t>（</w:t>
      </w:r>
      <w:r>
        <w:rPr>
          <w:color w:val="auto"/>
          <w:szCs w:val="21"/>
          <w:highlight w:val="none"/>
          <w:u w:val="none"/>
        </w:rPr>
        <w:t>2）邮寄服务</w:t>
      </w:r>
    </w:p>
    <w:p>
      <w:pPr>
        <w:pStyle w:val="81"/>
        <w:rPr>
          <w:color w:val="auto"/>
          <w:highlight w:val="none"/>
          <w:u w:val="none"/>
        </w:rPr>
      </w:pPr>
      <w:r>
        <w:rPr>
          <w:color w:val="auto"/>
          <w:szCs w:val="21"/>
          <w:highlight w:val="none"/>
          <w:u w:val="none"/>
        </w:rPr>
        <w:t>管理人向份额持有人邮寄定期报告、临时报告等有关本基金的信息。份额持有人在本合同签署页填写的通信地址为送达地址。通信地址如有变更，份额持有人应当及时通知管理人。</w:t>
      </w:r>
    </w:p>
    <w:p>
      <w:pPr>
        <w:pStyle w:val="81"/>
        <w:rPr>
          <w:color w:val="auto"/>
          <w:highlight w:val="none"/>
          <w:u w:val="none"/>
        </w:rPr>
      </w:pPr>
      <w:r>
        <w:rPr>
          <w:rFonts w:hint="eastAsia"/>
          <w:color w:val="auto"/>
          <w:szCs w:val="21"/>
          <w:highlight w:val="none"/>
          <w:u w:val="none"/>
        </w:rPr>
        <w:t>（</w:t>
      </w:r>
      <w:r>
        <w:rPr>
          <w:color w:val="auto"/>
          <w:szCs w:val="21"/>
          <w:highlight w:val="none"/>
          <w:u w:val="none"/>
        </w:rPr>
        <w:t>3）传真、电子邮件</w:t>
      </w:r>
    </w:p>
    <w:p>
      <w:pPr>
        <w:pStyle w:val="81"/>
        <w:rPr>
          <w:color w:val="auto"/>
          <w:highlight w:val="none"/>
          <w:u w:val="none"/>
        </w:rPr>
      </w:pPr>
      <w:r>
        <w:rPr>
          <w:color w:val="auto"/>
          <w:szCs w:val="21"/>
          <w:highlight w:val="none"/>
          <w:u w:val="none"/>
        </w:rPr>
        <w:t>如份额持有人留有传真号、电子邮箱等联系方式的，管理人也可通过传真、电子邮件等方式将报告信息通知份额持有人。</w:t>
      </w:r>
    </w:p>
    <w:p>
      <w:pPr>
        <w:pStyle w:val="81"/>
        <w:rPr>
          <w:color w:val="auto"/>
          <w:highlight w:val="none"/>
          <w:u w:val="none"/>
        </w:rPr>
      </w:pPr>
      <w:r>
        <w:rPr>
          <w:color w:val="auto"/>
          <w:szCs w:val="21"/>
          <w:highlight w:val="none"/>
          <w:u w:val="none"/>
        </w:rPr>
        <w:t>3.披露信息的备份</w:t>
      </w:r>
    </w:p>
    <w:p>
      <w:pPr>
        <w:pStyle w:val="81"/>
        <w:rPr>
          <w:color w:val="auto"/>
          <w:highlight w:val="none"/>
          <w:u w:val="none"/>
        </w:rPr>
      </w:pPr>
      <w:r>
        <w:rPr>
          <w:color w:val="auto"/>
          <w:szCs w:val="21"/>
          <w:highlight w:val="none"/>
          <w:u w:val="none"/>
        </w:rPr>
        <w:t>全体份额持有人同意管理人按照基金业协会的规定对基金披露的有关信息进行备份。</w:t>
      </w:r>
    </w:p>
    <w:p>
      <w:pPr>
        <w:pStyle w:val="81"/>
        <w:rPr>
          <w:color w:val="auto"/>
          <w:highlight w:val="none"/>
          <w:u w:val="none"/>
        </w:rPr>
      </w:pPr>
      <w:r>
        <w:rPr>
          <w:color w:val="auto"/>
          <w:szCs w:val="21"/>
          <w:highlight w:val="none"/>
          <w:u w:val="none"/>
        </w:rPr>
        <w:t>(三)</w:t>
      </w:r>
      <w:r>
        <w:rPr>
          <w:rFonts w:hint="eastAsia"/>
          <w:color w:val="auto"/>
          <w:highlight w:val="none"/>
          <w:u w:val="none"/>
        </w:rPr>
        <w:t>托管人的信息披露</w:t>
      </w:r>
    </w:p>
    <w:p>
      <w:pPr>
        <w:pStyle w:val="81"/>
        <w:rPr>
          <w:color w:val="auto"/>
          <w:szCs w:val="21"/>
          <w:highlight w:val="none"/>
          <w:u w:val="none"/>
        </w:rPr>
      </w:pPr>
      <w:r>
        <w:rPr>
          <w:color w:val="auto"/>
          <w:szCs w:val="21"/>
          <w:highlight w:val="none"/>
          <w:u w:val="none"/>
        </w:rPr>
        <w:t>1.</w:t>
      </w:r>
      <w:r>
        <w:rPr>
          <w:rFonts w:hint="eastAsia"/>
          <w:color w:val="auto"/>
          <w:szCs w:val="21"/>
          <w:highlight w:val="none"/>
          <w:u w:val="none"/>
        </w:rPr>
        <w:t>托管人的信息披露</w:t>
      </w:r>
      <w:r>
        <w:rPr>
          <w:color w:val="auto"/>
          <w:szCs w:val="21"/>
          <w:highlight w:val="none"/>
          <w:u w:val="none"/>
        </w:rPr>
        <w:t>的内容</w:t>
      </w:r>
    </w:p>
    <w:p>
      <w:pPr>
        <w:pStyle w:val="81"/>
        <w:rPr>
          <w:color w:val="auto"/>
          <w:szCs w:val="21"/>
          <w:highlight w:val="none"/>
          <w:u w:val="none"/>
        </w:rPr>
      </w:pPr>
      <w:r>
        <w:rPr>
          <w:rFonts w:hint="eastAsia"/>
          <w:color w:val="auto"/>
          <w:szCs w:val="21"/>
          <w:highlight w:val="none"/>
          <w:u w:val="none"/>
        </w:rPr>
        <w:t>（</w:t>
      </w:r>
      <w:r>
        <w:rPr>
          <w:color w:val="auto"/>
          <w:szCs w:val="21"/>
          <w:highlight w:val="none"/>
          <w:u w:val="none"/>
        </w:rPr>
        <w:t>1）</w:t>
      </w:r>
      <w:r>
        <w:rPr>
          <w:rFonts w:hint="eastAsia"/>
          <w:color w:val="auto"/>
          <w:szCs w:val="21"/>
          <w:highlight w:val="none"/>
          <w:u w:val="none"/>
        </w:rPr>
        <w:t>托管人托管业务部门负责人变动；</w:t>
      </w:r>
    </w:p>
    <w:p>
      <w:pPr>
        <w:pStyle w:val="81"/>
        <w:rPr>
          <w:color w:val="auto"/>
          <w:szCs w:val="21"/>
          <w:highlight w:val="none"/>
          <w:u w:val="none"/>
        </w:rPr>
      </w:pPr>
      <w:r>
        <w:rPr>
          <w:rFonts w:hint="eastAsia"/>
          <w:color w:val="auto"/>
          <w:szCs w:val="21"/>
          <w:highlight w:val="none"/>
          <w:u w:val="none"/>
        </w:rPr>
        <w:t>（</w:t>
      </w:r>
      <w:r>
        <w:rPr>
          <w:color w:val="auto"/>
          <w:szCs w:val="21"/>
          <w:highlight w:val="none"/>
          <w:u w:val="none"/>
        </w:rPr>
        <w:t>2）</w:t>
      </w:r>
      <w:r>
        <w:rPr>
          <w:rFonts w:hint="eastAsia"/>
          <w:color w:val="auto"/>
          <w:szCs w:val="21"/>
          <w:highlight w:val="none"/>
          <w:u w:val="none"/>
        </w:rPr>
        <w:t>托管人</w:t>
      </w:r>
      <w:r>
        <w:rPr>
          <w:color w:val="auto"/>
          <w:szCs w:val="21"/>
          <w:highlight w:val="none"/>
          <w:u w:val="none"/>
        </w:rPr>
        <w:t>发生</w:t>
      </w:r>
      <w:r>
        <w:rPr>
          <w:rFonts w:hint="eastAsia"/>
          <w:color w:val="auto"/>
          <w:szCs w:val="21"/>
          <w:highlight w:val="none"/>
          <w:u w:val="none"/>
        </w:rPr>
        <w:t>涉及基金托管业务的重大诉讼或者仲裁；</w:t>
      </w:r>
    </w:p>
    <w:p>
      <w:pPr>
        <w:pStyle w:val="81"/>
        <w:rPr>
          <w:color w:val="auto"/>
          <w:szCs w:val="21"/>
          <w:highlight w:val="none"/>
          <w:u w:val="none"/>
        </w:rPr>
      </w:pPr>
      <w:r>
        <w:rPr>
          <w:rFonts w:hint="eastAsia"/>
          <w:color w:val="auto"/>
          <w:szCs w:val="21"/>
          <w:highlight w:val="none"/>
          <w:u w:val="none"/>
        </w:rPr>
        <w:t>（</w:t>
      </w:r>
      <w:r>
        <w:rPr>
          <w:color w:val="auto"/>
          <w:szCs w:val="21"/>
          <w:highlight w:val="none"/>
          <w:u w:val="none"/>
        </w:rPr>
        <w:t>3）</w:t>
      </w:r>
      <w:r>
        <w:rPr>
          <w:rFonts w:hint="eastAsia"/>
          <w:color w:val="auto"/>
          <w:szCs w:val="21"/>
          <w:highlight w:val="none"/>
          <w:u w:val="none"/>
        </w:rPr>
        <w:t>相关法律法规、监管规则以及《私募投资基金信息披露管理办法》明确要求由</w:t>
      </w:r>
      <w:r>
        <w:rPr>
          <w:color w:val="auto"/>
          <w:szCs w:val="21"/>
          <w:highlight w:val="none"/>
          <w:u w:val="none"/>
        </w:rPr>
        <w:t>托管人</w:t>
      </w:r>
      <w:r>
        <w:rPr>
          <w:rFonts w:hint="eastAsia"/>
          <w:color w:val="auto"/>
          <w:szCs w:val="21"/>
          <w:highlight w:val="none"/>
          <w:u w:val="none"/>
        </w:rPr>
        <w:t>独立承担</w:t>
      </w:r>
      <w:r>
        <w:rPr>
          <w:color w:val="auto"/>
          <w:szCs w:val="21"/>
          <w:highlight w:val="none"/>
          <w:u w:val="none"/>
        </w:rPr>
        <w:t>的</w:t>
      </w:r>
      <w:r>
        <w:rPr>
          <w:rFonts w:hint="eastAsia"/>
          <w:color w:val="auto"/>
          <w:szCs w:val="21"/>
          <w:highlight w:val="none"/>
          <w:u w:val="none"/>
        </w:rPr>
        <w:t>其他信息披露义务。</w:t>
      </w:r>
    </w:p>
    <w:p>
      <w:pPr>
        <w:pStyle w:val="81"/>
        <w:rPr>
          <w:color w:val="auto"/>
          <w:szCs w:val="21"/>
          <w:highlight w:val="none"/>
          <w:u w:val="none"/>
        </w:rPr>
      </w:pPr>
      <w:r>
        <w:rPr>
          <w:color w:val="auto"/>
          <w:szCs w:val="21"/>
          <w:highlight w:val="none"/>
          <w:u w:val="none"/>
        </w:rPr>
        <w:t>2.</w:t>
      </w:r>
      <w:r>
        <w:rPr>
          <w:rFonts w:hint="eastAsia"/>
          <w:color w:val="auto"/>
          <w:szCs w:val="21"/>
          <w:highlight w:val="none"/>
          <w:u w:val="none"/>
        </w:rPr>
        <w:t>托管人的信息披露</w:t>
      </w:r>
      <w:r>
        <w:rPr>
          <w:color w:val="auto"/>
          <w:szCs w:val="21"/>
          <w:highlight w:val="none"/>
          <w:u w:val="none"/>
        </w:rPr>
        <w:t>的</w:t>
      </w:r>
      <w:r>
        <w:rPr>
          <w:rFonts w:hint="eastAsia"/>
          <w:color w:val="auto"/>
          <w:szCs w:val="21"/>
          <w:highlight w:val="none"/>
          <w:u w:val="none"/>
        </w:rPr>
        <w:t>方式</w:t>
      </w:r>
    </w:p>
    <w:p>
      <w:pPr>
        <w:pStyle w:val="81"/>
        <w:rPr>
          <w:color w:val="auto"/>
          <w:szCs w:val="21"/>
          <w:highlight w:val="none"/>
          <w:u w:val="none"/>
        </w:rPr>
      </w:pPr>
      <w:r>
        <w:rPr>
          <w:rFonts w:hint="eastAsia"/>
          <w:color w:val="auto"/>
          <w:szCs w:val="21"/>
          <w:highlight w:val="none"/>
          <w:u w:val="none"/>
        </w:rPr>
        <w:t>托管人</w:t>
      </w:r>
      <w:r>
        <w:rPr>
          <w:color w:val="auto"/>
          <w:szCs w:val="21"/>
          <w:highlight w:val="none"/>
          <w:u w:val="none"/>
        </w:rPr>
        <w:t>可选择下列任何一种</w:t>
      </w:r>
      <w:r>
        <w:rPr>
          <w:rFonts w:hint="eastAsia"/>
          <w:color w:val="auto"/>
          <w:szCs w:val="21"/>
          <w:highlight w:val="none"/>
          <w:u w:val="none"/>
        </w:rPr>
        <w:t>或多种</w:t>
      </w:r>
      <w:r>
        <w:rPr>
          <w:color w:val="auto"/>
          <w:szCs w:val="21"/>
          <w:highlight w:val="none"/>
          <w:u w:val="none"/>
        </w:rPr>
        <w:t>方式进行</w:t>
      </w:r>
      <w:r>
        <w:rPr>
          <w:rFonts w:hint="eastAsia"/>
          <w:color w:val="auto"/>
          <w:szCs w:val="21"/>
          <w:highlight w:val="none"/>
          <w:u w:val="none"/>
        </w:rPr>
        <w:t>信息披露</w:t>
      </w:r>
      <w:r>
        <w:rPr>
          <w:color w:val="auto"/>
          <w:szCs w:val="21"/>
          <w:highlight w:val="none"/>
          <w:u w:val="none"/>
        </w:rPr>
        <w:t>：</w:t>
      </w:r>
    </w:p>
    <w:p>
      <w:pPr>
        <w:pStyle w:val="81"/>
        <w:rPr>
          <w:color w:val="auto"/>
          <w:highlight w:val="none"/>
          <w:u w:val="none"/>
        </w:rPr>
      </w:pPr>
      <w:r>
        <w:rPr>
          <w:rFonts w:hint="eastAsia"/>
          <w:color w:val="auto"/>
          <w:szCs w:val="21"/>
          <w:highlight w:val="none"/>
          <w:u w:val="none"/>
        </w:rPr>
        <w:t>（</w:t>
      </w:r>
      <w:r>
        <w:rPr>
          <w:color w:val="auto"/>
          <w:szCs w:val="21"/>
          <w:highlight w:val="none"/>
          <w:u w:val="none"/>
        </w:rPr>
        <w:t>1）</w:t>
      </w:r>
      <w:r>
        <w:rPr>
          <w:rFonts w:hint="eastAsia"/>
          <w:color w:val="auto"/>
          <w:szCs w:val="21"/>
          <w:highlight w:val="none"/>
          <w:u w:val="none"/>
        </w:rPr>
        <w:t>在托管人网站上披露；</w:t>
      </w:r>
    </w:p>
    <w:p>
      <w:pPr>
        <w:pStyle w:val="81"/>
        <w:rPr>
          <w:color w:val="auto"/>
          <w:highlight w:val="none"/>
          <w:u w:val="none"/>
        </w:rPr>
      </w:pPr>
      <w:r>
        <w:rPr>
          <w:rFonts w:hint="eastAsia"/>
          <w:color w:val="auto"/>
          <w:szCs w:val="21"/>
          <w:highlight w:val="none"/>
          <w:u w:val="none"/>
        </w:rPr>
        <w:t>（</w:t>
      </w:r>
      <w:r>
        <w:rPr>
          <w:color w:val="auto"/>
          <w:szCs w:val="21"/>
          <w:highlight w:val="none"/>
          <w:u w:val="none"/>
        </w:rPr>
        <w:t>2）</w:t>
      </w:r>
      <w:r>
        <w:rPr>
          <w:rFonts w:hint="eastAsia"/>
          <w:color w:val="auto"/>
          <w:szCs w:val="21"/>
          <w:highlight w:val="none"/>
          <w:u w:val="none"/>
        </w:rPr>
        <w:t>托管人委托管理人向投资者披露。</w:t>
      </w:r>
    </w:p>
    <w:p>
      <w:pPr>
        <w:pStyle w:val="81"/>
        <w:rPr>
          <w:color w:val="auto"/>
          <w:highlight w:val="none"/>
          <w:u w:val="none"/>
        </w:rPr>
      </w:pPr>
      <w:r>
        <w:rPr>
          <w:rFonts w:hint="eastAsia"/>
          <w:color w:val="auto"/>
          <w:szCs w:val="21"/>
          <w:highlight w:val="none"/>
          <w:u w:val="none"/>
        </w:rPr>
        <w:t>如托管人选择委托管理人进行披露，管理人应按照托管人的要求向投资者进行披露。</w:t>
      </w:r>
    </w:p>
    <w:p>
      <w:pPr>
        <w:pStyle w:val="81"/>
        <w:rPr>
          <w:color w:val="auto"/>
          <w:highlight w:val="none"/>
          <w:u w:val="none"/>
        </w:rPr>
      </w:pPr>
      <w:r>
        <w:rPr>
          <w:color w:val="auto"/>
          <w:szCs w:val="21"/>
          <w:highlight w:val="none"/>
          <w:u w:val="none"/>
        </w:rPr>
        <w:t>3.</w:t>
      </w:r>
      <w:r>
        <w:rPr>
          <w:rFonts w:hint="eastAsia"/>
          <w:color w:val="auto"/>
          <w:szCs w:val="21"/>
          <w:highlight w:val="none"/>
          <w:u w:val="none"/>
        </w:rPr>
        <w:t>净值披露</w:t>
      </w:r>
    </w:p>
    <w:p>
      <w:pPr>
        <w:pStyle w:val="81"/>
        <w:rPr>
          <w:color w:val="auto"/>
          <w:highlight w:val="none"/>
          <w:u w:val="none"/>
        </w:rPr>
      </w:pPr>
      <w:r>
        <w:rPr>
          <w:rFonts w:hint="eastAsia"/>
          <w:color w:val="auto"/>
          <w:szCs w:val="21"/>
          <w:highlight w:val="none"/>
          <w:u w:val="none"/>
        </w:rPr>
        <w:t>托管人有权在其网站上披露本基金的净值，但管理人是本基金的信息披露责任方，托管人不承担披露本基金净值的义务。</w:t>
      </w:r>
    </w:p>
    <w:p>
      <w:pPr>
        <w:pStyle w:val="4"/>
        <w:snapToGrid/>
        <w:spacing w:beforeLines="100" w:afterLines="50"/>
        <w:rPr>
          <w:rFonts w:ascii="楷体" w:hAnsi="楷体" w:eastAsia="楷体"/>
          <w:color w:val="auto"/>
          <w:sz w:val="24"/>
          <w:highlight w:val="none"/>
          <w:u w:val="none"/>
        </w:rPr>
      </w:pPr>
      <w:bookmarkStart w:id="71" w:name="_Toc194741921"/>
      <w:bookmarkStart w:id="72" w:name="_Toc482974545"/>
      <w:bookmarkStart w:id="73" w:name="_Toc260056794"/>
      <w:r>
        <w:rPr>
          <w:rFonts w:ascii="楷体" w:hAnsi="楷体" w:eastAsia="楷体"/>
          <w:color w:val="auto"/>
          <w:sz w:val="24"/>
          <w:highlight w:val="none"/>
          <w:u w:val="none"/>
        </w:rPr>
        <w:t>第二十</w:t>
      </w:r>
      <w:r>
        <w:rPr>
          <w:rFonts w:hint="eastAsia" w:ascii="楷体" w:hAnsi="楷体" w:eastAsia="楷体"/>
          <w:color w:val="auto"/>
          <w:sz w:val="24"/>
          <w:highlight w:val="none"/>
          <w:u w:val="none"/>
        </w:rPr>
        <w:t>一</w:t>
      </w:r>
      <w:r>
        <w:rPr>
          <w:rFonts w:ascii="楷体" w:hAnsi="楷体" w:eastAsia="楷体"/>
          <w:color w:val="auto"/>
          <w:sz w:val="24"/>
          <w:highlight w:val="none"/>
          <w:u w:val="none"/>
        </w:rPr>
        <w:t>节风险揭示</w:t>
      </w:r>
      <w:bookmarkEnd w:id="71"/>
      <w:bookmarkEnd w:id="72"/>
      <w:bookmarkEnd w:id="73"/>
    </w:p>
    <w:p>
      <w:pPr>
        <w:spacing w:line="360" w:lineRule="auto"/>
        <w:ind w:firstLine="420" w:firstLineChars="200"/>
        <w:rPr>
          <w:rFonts w:ascii="楷体" w:hAnsi="楷体" w:eastAsia="楷体"/>
          <w:color w:val="auto"/>
          <w:highlight w:val="none"/>
          <w:u w:val="none"/>
        </w:rPr>
      </w:pPr>
      <w:r>
        <w:rPr>
          <w:rFonts w:hint="eastAsia" w:ascii="楷体" w:hAnsi="楷体" w:eastAsia="楷体"/>
          <w:color w:val="auto"/>
          <w:highlight w:val="none"/>
          <w:u w:val="none"/>
        </w:rPr>
        <w:t>本基金的风险揭示详见附件一《风险揭示书》。</w:t>
      </w:r>
    </w:p>
    <w:p>
      <w:pPr>
        <w:pStyle w:val="4"/>
        <w:snapToGrid/>
        <w:spacing w:beforeLines="100" w:afterLines="50"/>
        <w:rPr>
          <w:rFonts w:ascii="楷体" w:hAnsi="楷体" w:eastAsia="楷体"/>
          <w:color w:val="auto"/>
          <w:sz w:val="24"/>
          <w:highlight w:val="none"/>
          <w:u w:val="none"/>
        </w:rPr>
      </w:pPr>
      <w:bookmarkStart w:id="74" w:name="_Toc260056795"/>
      <w:bookmarkStart w:id="75" w:name="_Toc482974546"/>
      <w:r>
        <w:rPr>
          <w:rFonts w:ascii="楷体" w:hAnsi="楷体" w:eastAsia="楷体"/>
          <w:color w:val="auto"/>
          <w:sz w:val="24"/>
          <w:highlight w:val="none"/>
          <w:u w:val="none"/>
        </w:rPr>
        <w:t>第二十</w:t>
      </w:r>
      <w:r>
        <w:rPr>
          <w:rFonts w:hint="eastAsia" w:ascii="楷体" w:hAnsi="楷体" w:eastAsia="楷体"/>
          <w:color w:val="auto"/>
          <w:sz w:val="24"/>
          <w:highlight w:val="none"/>
          <w:u w:val="none"/>
        </w:rPr>
        <w:t>二</w:t>
      </w:r>
      <w:r>
        <w:rPr>
          <w:rFonts w:ascii="楷体" w:hAnsi="楷体" w:eastAsia="楷体"/>
          <w:color w:val="auto"/>
          <w:sz w:val="24"/>
          <w:highlight w:val="none"/>
          <w:u w:val="none"/>
        </w:rPr>
        <w:t>节基金合同的期限、变更、终止</w:t>
      </w:r>
      <w:bookmarkEnd w:id="74"/>
      <w:bookmarkEnd w:id="75"/>
    </w:p>
    <w:p>
      <w:pPr>
        <w:pStyle w:val="81"/>
        <w:rPr>
          <w:color w:val="auto"/>
          <w:highlight w:val="none"/>
          <w:u w:val="none"/>
        </w:rPr>
      </w:pPr>
      <w:r>
        <w:rPr>
          <w:color w:val="auto"/>
          <w:szCs w:val="21"/>
          <w:highlight w:val="none"/>
          <w:u w:val="none"/>
        </w:rPr>
        <w:t>（一）</w:t>
      </w:r>
      <w:r>
        <w:rPr>
          <w:color w:val="auto"/>
          <w:highlight w:val="none"/>
          <w:u w:val="none"/>
        </w:rPr>
        <w:t>基金合同的成立与生效</w:t>
      </w:r>
    </w:p>
    <w:p>
      <w:pPr>
        <w:pStyle w:val="81"/>
        <w:rPr>
          <w:color w:val="auto"/>
          <w:highlight w:val="none"/>
          <w:u w:val="none"/>
        </w:rPr>
      </w:pPr>
      <w:r>
        <w:rPr>
          <w:color w:val="auto"/>
          <w:highlight w:val="none"/>
          <w:u w:val="none"/>
        </w:rPr>
        <w:t>1.基金合同的成立</w:t>
      </w:r>
    </w:p>
    <w:p>
      <w:pPr>
        <w:pStyle w:val="81"/>
        <w:rPr>
          <w:color w:val="auto"/>
          <w:highlight w:val="none"/>
          <w:u w:val="none"/>
        </w:rPr>
      </w:pPr>
      <w:r>
        <w:rPr>
          <w:color w:val="auto"/>
          <w:highlight w:val="none"/>
          <w:u w:val="none"/>
        </w:rPr>
        <w:t>基金合同是约定合同当事人之间权利义务关系的法律文件。</w:t>
      </w:r>
      <w:r>
        <w:rPr>
          <w:rFonts w:hint="eastAsia"/>
          <w:color w:val="auto"/>
          <w:highlight w:val="none"/>
          <w:u w:val="none"/>
        </w:rPr>
        <w:t>本合同由</w:t>
      </w:r>
      <w:r>
        <w:rPr>
          <w:color w:val="auto"/>
          <w:highlight w:val="none"/>
          <w:u w:val="none"/>
        </w:rPr>
        <w:t>管理人及托管人先行</w:t>
      </w:r>
      <w:r>
        <w:rPr>
          <w:rFonts w:hint="eastAsia"/>
          <w:color w:val="auto"/>
          <w:highlight w:val="none"/>
          <w:u w:val="none"/>
        </w:rPr>
        <w:t>以</w:t>
      </w:r>
      <w:r>
        <w:rPr>
          <w:color w:val="auto"/>
          <w:highlight w:val="none"/>
          <w:u w:val="none"/>
        </w:rPr>
        <w:t>纸质形式签署，经管理人加盖公章、托管人加盖合同专用章以及</w:t>
      </w:r>
      <w:r>
        <w:rPr>
          <w:rFonts w:hint="eastAsia"/>
          <w:color w:val="auto"/>
          <w:highlight w:val="none"/>
          <w:u w:val="none"/>
        </w:rPr>
        <w:t>双</w:t>
      </w:r>
      <w:r>
        <w:rPr>
          <w:color w:val="auto"/>
          <w:highlight w:val="none"/>
          <w:u w:val="none"/>
        </w:rPr>
        <w:t>方法定代表人或法定代表人授权的代理人签字或盖章</w:t>
      </w:r>
      <w:r>
        <w:rPr>
          <w:rFonts w:hint="eastAsia"/>
          <w:color w:val="auto"/>
          <w:highlight w:val="none"/>
          <w:u w:val="none"/>
        </w:rPr>
        <w:t>后</w:t>
      </w:r>
      <w:r>
        <w:rPr>
          <w:color w:val="auto"/>
          <w:highlight w:val="none"/>
          <w:u w:val="none"/>
        </w:rPr>
        <w:t>即在管理人及托管人之间</w:t>
      </w:r>
      <w:r>
        <w:rPr>
          <w:rFonts w:hint="eastAsia"/>
          <w:color w:val="auto"/>
          <w:highlight w:val="none"/>
          <w:u w:val="none"/>
        </w:rPr>
        <w:t>成立</w:t>
      </w:r>
      <w:r>
        <w:rPr>
          <w:color w:val="auto"/>
          <w:highlight w:val="none"/>
          <w:u w:val="none"/>
        </w:rPr>
        <w:t>，</w:t>
      </w:r>
      <w:r>
        <w:rPr>
          <w:rFonts w:hint="eastAsia"/>
          <w:color w:val="auto"/>
          <w:highlight w:val="none"/>
          <w:u w:val="none"/>
        </w:rPr>
        <w:t>双方各</w:t>
      </w:r>
      <w:r>
        <w:rPr>
          <w:color w:val="auto"/>
          <w:highlight w:val="none"/>
          <w:u w:val="none"/>
        </w:rPr>
        <w:t>保留一份原件</w:t>
      </w:r>
      <w:r>
        <w:rPr>
          <w:rFonts w:hint="eastAsia"/>
          <w:color w:val="auto"/>
          <w:highlight w:val="none"/>
          <w:u w:val="none"/>
        </w:rPr>
        <w:t>。各方</w:t>
      </w:r>
      <w:r>
        <w:rPr>
          <w:color w:val="auto"/>
          <w:highlight w:val="none"/>
          <w:u w:val="none"/>
        </w:rPr>
        <w:t>同意</w:t>
      </w:r>
      <w:r>
        <w:rPr>
          <w:rFonts w:hint="eastAsia"/>
          <w:color w:val="auto"/>
          <w:highlight w:val="none"/>
          <w:u w:val="none"/>
        </w:rPr>
        <w:t>，</w:t>
      </w:r>
      <w:r>
        <w:rPr>
          <w:color w:val="auto"/>
          <w:highlight w:val="none"/>
          <w:u w:val="none"/>
        </w:rPr>
        <w:t>若</w:t>
      </w:r>
      <w:r>
        <w:rPr>
          <w:rFonts w:hint="eastAsia"/>
          <w:color w:val="auto"/>
          <w:highlight w:val="none"/>
          <w:u w:val="none"/>
        </w:rPr>
        <w:t>任何</w:t>
      </w:r>
      <w:r>
        <w:rPr>
          <w:color w:val="auto"/>
          <w:highlight w:val="none"/>
          <w:u w:val="none"/>
        </w:rPr>
        <w:t>一方当事人实际签署的合同条款与托管人</w:t>
      </w:r>
      <w:r>
        <w:rPr>
          <w:rFonts w:hint="eastAsia"/>
          <w:color w:val="auto"/>
          <w:highlight w:val="none"/>
          <w:u w:val="none"/>
        </w:rPr>
        <w:t>自行</w:t>
      </w:r>
      <w:r>
        <w:rPr>
          <w:color w:val="auto"/>
          <w:highlight w:val="none"/>
          <w:u w:val="none"/>
        </w:rPr>
        <w:t>保存的纸质版本</w:t>
      </w:r>
      <w:r>
        <w:rPr>
          <w:rFonts w:hint="eastAsia"/>
          <w:color w:val="auto"/>
          <w:highlight w:val="none"/>
          <w:u w:val="none"/>
        </w:rPr>
        <w:t>不一致的</w:t>
      </w:r>
      <w:r>
        <w:rPr>
          <w:color w:val="auto"/>
          <w:highlight w:val="none"/>
          <w:u w:val="none"/>
        </w:rPr>
        <w:t>，由管理人承担责任</w:t>
      </w:r>
      <w:r>
        <w:rPr>
          <w:rFonts w:hint="eastAsia"/>
          <w:color w:val="auto"/>
          <w:highlight w:val="none"/>
          <w:u w:val="none"/>
        </w:rPr>
        <w:t>。</w:t>
      </w:r>
    </w:p>
    <w:p>
      <w:pPr>
        <w:pStyle w:val="81"/>
        <w:rPr>
          <w:color w:val="auto"/>
          <w:highlight w:val="none"/>
          <w:u w:val="none"/>
        </w:rPr>
      </w:pPr>
      <w:r>
        <w:rPr>
          <w:color w:val="auto"/>
          <w:highlight w:val="none"/>
          <w:u w:val="none"/>
        </w:rPr>
        <w:t>投资者认购、参与本基金的，可采用电子签约方式或纸质版合同签约方式签署合同</w:t>
      </w:r>
      <w:r>
        <w:rPr>
          <w:rFonts w:hint="eastAsia"/>
          <w:color w:val="auto"/>
          <w:highlight w:val="none"/>
          <w:u w:val="none"/>
        </w:rPr>
        <w:t>；</w:t>
      </w:r>
      <w:r>
        <w:rPr>
          <w:color w:val="auto"/>
          <w:highlight w:val="none"/>
          <w:u w:val="none"/>
        </w:rPr>
        <w:t>由</w:t>
      </w:r>
      <w:r>
        <w:rPr>
          <w:rFonts w:hint="eastAsia"/>
          <w:color w:val="auto"/>
          <w:highlight w:val="none"/>
          <w:u w:val="none"/>
        </w:rPr>
        <w:t>管理人负责</w:t>
      </w:r>
      <w:r>
        <w:rPr>
          <w:color w:val="auto"/>
          <w:highlight w:val="none"/>
          <w:u w:val="none"/>
        </w:rPr>
        <w:t>安排</w:t>
      </w:r>
      <w:r>
        <w:rPr>
          <w:rFonts w:hint="eastAsia"/>
          <w:color w:val="auto"/>
          <w:highlight w:val="none"/>
          <w:u w:val="none"/>
        </w:rPr>
        <w:t>投资者</w:t>
      </w:r>
      <w:r>
        <w:rPr>
          <w:color w:val="auto"/>
          <w:highlight w:val="none"/>
          <w:u w:val="none"/>
        </w:rPr>
        <w:t>具体</w:t>
      </w:r>
      <w:r>
        <w:rPr>
          <w:rFonts w:hint="eastAsia"/>
          <w:color w:val="auto"/>
          <w:highlight w:val="none"/>
          <w:u w:val="none"/>
        </w:rPr>
        <w:t>签署合同</w:t>
      </w:r>
      <w:r>
        <w:rPr>
          <w:color w:val="auto"/>
          <w:highlight w:val="none"/>
          <w:u w:val="none"/>
        </w:rPr>
        <w:t>，</w:t>
      </w:r>
      <w:r>
        <w:rPr>
          <w:rFonts w:hint="eastAsia"/>
          <w:color w:val="auto"/>
          <w:highlight w:val="none"/>
          <w:u w:val="none"/>
        </w:rPr>
        <w:t>托管人不参与投资者签署基金合同</w:t>
      </w:r>
      <w:r>
        <w:rPr>
          <w:color w:val="auto"/>
          <w:highlight w:val="none"/>
          <w:u w:val="none"/>
        </w:rPr>
        <w:t>流程。</w:t>
      </w:r>
    </w:p>
    <w:p>
      <w:pPr>
        <w:pStyle w:val="81"/>
        <w:rPr>
          <w:color w:val="auto"/>
          <w:highlight w:val="none"/>
          <w:u w:val="none"/>
        </w:rPr>
      </w:pPr>
      <w:r>
        <w:rPr>
          <w:color w:val="auto"/>
          <w:highlight w:val="none"/>
          <w:u w:val="none"/>
        </w:rPr>
        <w:t>采用电子签约方式签署合同的投资者，</w:t>
      </w:r>
      <w:r>
        <w:rPr>
          <w:rFonts w:hint="eastAsia"/>
          <w:color w:val="auto"/>
          <w:highlight w:val="none"/>
          <w:u w:val="none"/>
        </w:rPr>
        <w:t>管理人应将</w:t>
      </w:r>
      <w:r>
        <w:rPr>
          <w:color w:val="auto"/>
          <w:highlight w:val="none"/>
          <w:u w:val="none"/>
        </w:rPr>
        <w:t>已经管理人和托管人签署的合同版本上传到指定电子交易系统。投资者为法人的，其法定代表人或授权人在指定的电子交易系统中点击确认本合同</w:t>
      </w:r>
      <w:r>
        <w:rPr>
          <w:rFonts w:hint="eastAsia"/>
          <w:color w:val="auto"/>
          <w:highlight w:val="none"/>
          <w:u w:val="none"/>
        </w:rPr>
        <w:t>之日起</w:t>
      </w:r>
      <w:r>
        <w:rPr>
          <w:color w:val="auto"/>
          <w:highlight w:val="none"/>
          <w:u w:val="none"/>
        </w:rPr>
        <w:t>，本合同成立。投资者为自然人的，经投资者本人或授权的代理人在指定的电子交易系统点击确认本合同</w:t>
      </w:r>
      <w:r>
        <w:rPr>
          <w:rFonts w:hint="eastAsia"/>
          <w:color w:val="auto"/>
          <w:highlight w:val="none"/>
          <w:u w:val="none"/>
        </w:rPr>
        <w:t>之日起</w:t>
      </w:r>
      <w:r>
        <w:rPr>
          <w:color w:val="auto"/>
          <w:highlight w:val="none"/>
          <w:u w:val="none"/>
        </w:rPr>
        <w:t>，本合同成立。</w:t>
      </w:r>
    </w:p>
    <w:p>
      <w:pPr>
        <w:pStyle w:val="81"/>
        <w:rPr>
          <w:color w:val="auto"/>
          <w:highlight w:val="none"/>
          <w:u w:val="none"/>
        </w:rPr>
      </w:pPr>
      <w:r>
        <w:rPr>
          <w:color w:val="auto"/>
          <w:highlight w:val="none"/>
          <w:u w:val="none"/>
        </w:rPr>
        <w:t>采用纸质版合同签约方式签署合同的投资者，投资者为法人的，本合同经投资者</w:t>
      </w:r>
      <w:r>
        <w:rPr>
          <w:rFonts w:hint="eastAsia"/>
          <w:color w:val="auto"/>
          <w:highlight w:val="none"/>
          <w:u w:val="none"/>
        </w:rPr>
        <w:t>在</w:t>
      </w:r>
      <w:r>
        <w:rPr>
          <w:color w:val="auto"/>
          <w:highlight w:val="none"/>
          <w:u w:val="none"/>
        </w:rPr>
        <w:t>已经托管人</w:t>
      </w:r>
      <w:r>
        <w:rPr>
          <w:rFonts w:hint="eastAsia"/>
          <w:color w:val="auto"/>
          <w:highlight w:val="none"/>
          <w:u w:val="none"/>
        </w:rPr>
        <w:t>及管理人</w:t>
      </w:r>
      <w:r>
        <w:rPr>
          <w:color w:val="auto"/>
          <w:highlight w:val="none"/>
          <w:u w:val="none"/>
        </w:rPr>
        <w:t>签署的基金合同版本上</w:t>
      </w:r>
      <w:r>
        <w:rPr>
          <w:rFonts w:hint="eastAsia"/>
          <w:color w:val="auto"/>
          <w:highlight w:val="none"/>
          <w:u w:val="none"/>
        </w:rPr>
        <w:t>加盖</w:t>
      </w:r>
      <w:r>
        <w:rPr>
          <w:color w:val="auto"/>
          <w:highlight w:val="none"/>
          <w:u w:val="none"/>
        </w:rPr>
        <w:t>公章</w:t>
      </w:r>
      <w:r>
        <w:rPr>
          <w:rFonts w:hint="eastAsia"/>
          <w:color w:val="auto"/>
          <w:highlight w:val="none"/>
          <w:u w:val="none"/>
        </w:rPr>
        <w:t>、且其</w:t>
      </w:r>
      <w:r>
        <w:rPr>
          <w:color w:val="auto"/>
          <w:highlight w:val="none"/>
          <w:u w:val="none"/>
        </w:rPr>
        <w:t>法定代表人或法定代表人授权的代理人签字之日起成立；投资者为自然人的，本合同经投资者本人或授权的代理人</w:t>
      </w:r>
      <w:r>
        <w:rPr>
          <w:rFonts w:hint="eastAsia"/>
          <w:color w:val="auto"/>
          <w:highlight w:val="none"/>
          <w:u w:val="none"/>
        </w:rPr>
        <w:t>在</w:t>
      </w:r>
      <w:r>
        <w:rPr>
          <w:color w:val="auto"/>
          <w:highlight w:val="none"/>
          <w:u w:val="none"/>
        </w:rPr>
        <w:t>已经托管人</w:t>
      </w:r>
      <w:r>
        <w:rPr>
          <w:rFonts w:hint="eastAsia"/>
          <w:color w:val="auto"/>
          <w:highlight w:val="none"/>
          <w:u w:val="none"/>
        </w:rPr>
        <w:t>及管理人</w:t>
      </w:r>
      <w:r>
        <w:rPr>
          <w:color w:val="auto"/>
          <w:highlight w:val="none"/>
          <w:u w:val="none"/>
        </w:rPr>
        <w:t>签署的基金合同版本上签字</w:t>
      </w:r>
      <w:r>
        <w:rPr>
          <w:rFonts w:hint="eastAsia"/>
          <w:color w:val="auto"/>
          <w:highlight w:val="none"/>
          <w:u w:val="none"/>
        </w:rPr>
        <w:t>之日起</w:t>
      </w:r>
      <w:r>
        <w:rPr>
          <w:color w:val="auto"/>
          <w:highlight w:val="none"/>
          <w:u w:val="none"/>
        </w:rPr>
        <w:t>成立。</w:t>
      </w:r>
    </w:p>
    <w:p>
      <w:pPr>
        <w:numPr>
          <w:ilvl w:val="0"/>
          <w:numId w:val="0"/>
        </w:numPr>
        <w:spacing w:line="360" w:lineRule="auto"/>
        <w:ind w:left="0" w:firstLine="420" w:firstLineChars="0"/>
        <w:rPr>
          <w:rFonts w:ascii="楷体" w:hAnsi="楷体" w:eastAsia="楷体"/>
          <w:color w:val="auto"/>
          <w:highlight w:val="none"/>
          <w:u w:val="none"/>
        </w:rPr>
      </w:pPr>
      <w:r>
        <w:rPr>
          <w:rFonts w:ascii="楷体" w:hAnsi="楷体" w:eastAsia="楷体"/>
          <w:color w:val="auto"/>
          <w:highlight w:val="none"/>
          <w:u w:val="none"/>
        </w:rPr>
        <w:t>2.基金合同的生效</w:t>
      </w:r>
    </w:p>
    <w:p>
      <w:pPr>
        <w:pStyle w:val="81"/>
        <w:rPr>
          <w:color w:val="auto"/>
          <w:highlight w:val="none"/>
          <w:u w:val="none"/>
        </w:rPr>
      </w:pPr>
      <w:r>
        <w:rPr>
          <w:rFonts w:hint="eastAsia"/>
          <w:color w:val="auto"/>
          <w:highlight w:val="none"/>
          <w:u w:val="none"/>
        </w:rPr>
        <w:t>在初始销售期签署本合同，且其认购资金足额</w:t>
      </w:r>
      <w:r>
        <w:rPr>
          <w:color w:val="auto"/>
          <w:highlight w:val="none"/>
          <w:u w:val="none"/>
        </w:rPr>
        <w:t>到达托管账户</w:t>
      </w:r>
      <w:r>
        <w:rPr>
          <w:rFonts w:hint="eastAsia"/>
          <w:color w:val="auto"/>
          <w:highlight w:val="none"/>
          <w:u w:val="none"/>
        </w:rPr>
        <w:t>的投资者，其</w:t>
      </w:r>
      <w:r>
        <w:rPr>
          <w:color w:val="auto"/>
          <w:highlight w:val="none"/>
          <w:u w:val="none"/>
        </w:rPr>
        <w:t>合同自基金成立之日起生效</w:t>
      </w:r>
      <w:r>
        <w:rPr>
          <w:rFonts w:hint="eastAsia"/>
          <w:color w:val="auto"/>
          <w:highlight w:val="none"/>
          <w:u w:val="none"/>
        </w:rPr>
        <w:t>；在开放日申购参与本基金，签署本合同，且其申购资金足额</w:t>
      </w:r>
      <w:r>
        <w:rPr>
          <w:color w:val="auto"/>
          <w:highlight w:val="none"/>
          <w:u w:val="none"/>
        </w:rPr>
        <w:t>到达托管账户</w:t>
      </w:r>
      <w:r>
        <w:rPr>
          <w:rFonts w:hint="eastAsia"/>
          <w:color w:val="auto"/>
          <w:highlight w:val="none"/>
          <w:u w:val="none"/>
        </w:rPr>
        <w:t>的投资者，其</w:t>
      </w:r>
      <w:r>
        <w:rPr>
          <w:color w:val="auto"/>
          <w:highlight w:val="none"/>
          <w:u w:val="none"/>
        </w:rPr>
        <w:t>合同</w:t>
      </w:r>
      <w:r>
        <w:rPr>
          <w:rFonts w:hint="eastAsia"/>
          <w:color w:val="auto"/>
          <w:highlight w:val="none"/>
          <w:u w:val="none"/>
        </w:rPr>
        <w:t>生效</w:t>
      </w:r>
      <w:r>
        <w:rPr>
          <w:color w:val="auto"/>
          <w:highlight w:val="none"/>
          <w:u w:val="none"/>
        </w:rPr>
        <w:t>日以</w:t>
      </w:r>
      <w:r>
        <w:rPr>
          <w:rFonts w:hint="eastAsia"/>
          <w:color w:val="auto"/>
          <w:highlight w:val="none"/>
          <w:u w:val="none"/>
        </w:rPr>
        <w:t>申购</w:t>
      </w:r>
      <w:r>
        <w:rPr>
          <w:color w:val="auto"/>
          <w:highlight w:val="none"/>
          <w:u w:val="none"/>
        </w:rPr>
        <w:t>资金</w:t>
      </w:r>
      <w:r>
        <w:rPr>
          <w:rFonts w:hint="eastAsia"/>
          <w:color w:val="auto"/>
          <w:highlight w:val="none"/>
          <w:u w:val="none"/>
        </w:rPr>
        <w:t>到达托管</w:t>
      </w:r>
      <w:r>
        <w:rPr>
          <w:color w:val="auto"/>
          <w:highlight w:val="none"/>
          <w:u w:val="none"/>
        </w:rPr>
        <w:t>账户日与</w:t>
      </w:r>
      <w:r>
        <w:rPr>
          <w:rFonts w:hint="eastAsia"/>
          <w:color w:val="auto"/>
          <w:highlight w:val="none"/>
          <w:u w:val="none"/>
        </w:rPr>
        <w:t>申购份额确认</w:t>
      </w:r>
      <w:r>
        <w:rPr>
          <w:color w:val="auto"/>
          <w:highlight w:val="none"/>
          <w:u w:val="none"/>
        </w:rPr>
        <w:t>之日</w:t>
      </w:r>
      <w:r>
        <w:rPr>
          <w:rFonts w:hint="eastAsia"/>
          <w:color w:val="auto"/>
          <w:highlight w:val="none"/>
          <w:u w:val="none"/>
        </w:rPr>
        <w:t>孰</w:t>
      </w:r>
      <w:r>
        <w:rPr>
          <w:color w:val="auto"/>
          <w:highlight w:val="none"/>
          <w:u w:val="none"/>
        </w:rPr>
        <w:t>晚为准</w:t>
      </w:r>
      <w:r>
        <w:rPr>
          <w:rFonts w:hint="eastAsia"/>
          <w:color w:val="auto"/>
          <w:highlight w:val="none"/>
          <w:u w:val="none"/>
        </w:rPr>
        <w:t>。</w:t>
      </w:r>
    </w:p>
    <w:p>
      <w:pPr>
        <w:pStyle w:val="81"/>
        <w:rPr>
          <w:color w:val="auto"/>
          <w:highlight w:val="none"/>
          <w:u w:val="none"/>
        </w:rPr>
      </w:pPr>
      <w:r>
        <w:rPr>
          <w:color w:val="auto"/>
          <w:highlight w:val="none"/>
          <w:u w:val="none"/>
        </w:rPr>
        <w:t>3.基金合同自生效之日起对投资者、管理人、托管人具有同等的法律约束力。投资者承诺认可并同意接受本基金电子合同文本与纸质版文本具有同等法律效力，认可并同意接受电子签约方式具备法律效力。投资者一经确认电子合同文本，不得以任何理由主张电子合同文本或电子签名或电子签约方式无效。</w:t>
      </w:r>
    </w:p>
    <w:p>
      <w:pPr>
        <w:pStyle w:val="81"/>
        <w:rPr>
          <w:color w:val="auto"/>
          <w:highlight w:val="none"/>
          <w:u w:val="none"/>
        </w:rPr>
      </w:pPr>
      <w:r>
        <w:rPr>
          <w:color w:val="auto"/>
          <w:szCs w:val="21"/>
          <w:highlight w:val="none"/>
          <w:u w:val="none"/>
        </w:rPr>
        <w:t>（二）</w:t>
      </w:r>
      <w:r>
        <w:rPr>
          <w:color w:val="auto"/>
          <w:highlight w:val="none"/>
          <w:u w:val="none"/>
        </w:rPr>
        <w:t>基金合同的期限</w:t>
      </w:r>
    </w:p>
    <w:p>
      <w:pPr>
        <w:pStyle w:val="81"/>
        <w:rPr>
          <w:color w:val="auto"/>
          <w:highlight w:val="none"/>
          <w:u w:val="none"/>
        </w:rPr>
      </w:pPr>
      <w:r>
        <w:rPr>
          <w:color w:val="auto"/>
          <w:highlight w:val="none"/>
          <w:u w:val="none"/>
        </w:rPr>
        <w:t>基金合同的存续期限</w:t>
      </w:r>
      <w:r>
        <w:rPr>
          <w:rFonts w:hint="eastAsia"/>
          <w:color w:val="auto"/>
          <w:highlight w:val="none"/>
          <w:u w:val="none"/>
        </w:rPr>
        <w:t>与本私募基金的存续期限一致</w:t>
      </w:r>
      <w:r>
        <w:rPr>
          <w:color w:val="auto"/>
          <w:highlight w:val="none"/>
          <w:u w:val="none"/>
        </w:rPr>
        <w:t>，自生效之日起算</w:t>
      </w:r>
      <w:r>
        <w:rPr>
          <w:rFonts w:hint="eastAsia"/>
          <w:color w:val="auto"/>
          <w:highlight w:val="none"/>
          <w:u w:val="none"/>
        </w:rPr>
        <w:t>；但本基金合同生效期届满后基金财产的清算、违约责任、争议的处理等条款继续有效</w:t>
      </w:r>
      <w:r>
        <w:rPr>
          <w:color w:val="auto"/>
          <w:highlight w:val="none"/>
          <w:u w:val="none"/>
        </w:rPr>
        <w:t>。</w:t>
      </w:r>
    </w:p>
    <w:p>
      <w:pPr>
        <w:pStyle w:val="81"/>
        <w:rPr>
          <w:color w:val="auto"/>
          <w:highlight w:val="none"/>
          <w:u w:val="none"/>
        </w:rPr>
      </w:pPr>
      <w:r>
        <w:rPr>
          <w:color w:val="auto"/>
          <w:szCs w:val="21"/>
          <w:highlight w:val="none"/>
          <w:u w:val="none"/>
        </w:rPr>
        <w:t>（三）</w:t>
      </w:r>
      <w:r>
        <w:rPr>
          <w:color w:val="auto"/>
          <w:highlight w:val="none"/>
          <w:u w:val="none"/>
        </w:rPr>
        <w:t>基金合同的变更</w:t>
      </w:r>
    </w:p>
    <w:p>
      <w:pPr>
        <w:pStyle w:val="81"/>
        <w:rPr>
          <w:color w:val="auto"/>
          <w:highlight w:val="none"/>
          <w:u w:val="none"/>
        </w:rPr>
      </w:pPr>
      <w:r>
        <w:rPr>
          <w:color w:val="auto"/>
          <w:highlight w:val="none"/>
          <w:u w:val="none"/>
        </w:rPr>
        <w:t>1.以下</w:t>
      </w:r>
      <w:r>
        <w:rPr>
          <w:rFonts w:hint="eastAsia"/>
          <w:color w:val="auto"/>
          <w:highlight w:val="none"/>
          <w:u w:val="none"/>
        </w:rPr>
        <w:t>合同变更</w:t>
      </w:r>
      <w:r>
        <w:rPr>
          <w:color w:val="auto"/>
          <w:highlight w:val="none"/>
          <w:u w:val="none"/>
        </w:rPr>
        <w:t>事项可由管理人自行决定：</w:t>
      </w:r>
    </w:p>
    <w:p>
      <w:pPr>
        <w:pStyle w:val="81"/>
        <w:rPr>
          <w:color w:val="auto"/>
          <w:highlight w:val="none"/>
          <w:u w:val="none"/>
        </w:rPr>
      </w:pPr>
      <w:r>
        <w:rPr>
          <w:rFonts w:hint="eastAsia"/>
          <w:color w:val="auto"/>
          <w:highlight w:val="none"/>
          <w:u w:val="none"/>
        </w:rPr>
        <w:t>（</w:t>
      </w:r>
      <w:r>
        <w:rPr>
          <w:color w:val="auto"/>
          <w:highlight w:val="none"/>
          <w:u w:val="none"/>
        </w:rPr>
        <w:t>1）投资经理的变更；</w:t>
      </w:r>
    </w:p>
    <w:p>
      <w:pPr>
        <w:pStyle w:val="81"/>
        <w:rPr>
          <w:color w:val="auto"/>
          <w:highlight w:val="none"/>
          <w:u w:val="none"/>
        </w:rPr>
      </w:pPr>
      <w:r>
        <w:rPr>
          <w:rFonts w:hint="eastAsia"/>
          <w:color w:val="auto"/>
          <w:highlight w:val="none"/>
          <w:u w:val="none"/>
        </w:rPr>
        <w:t>（</w:t>
      </w:r>
      <w:r>
        <w:rPr>
          <w:color w:val="auto"/>
          <w:highlight w:val="none"/>
          <w:u w:val="none"/>
        </w:rPr>
        <w:t>2）基金份额认购/申购的原则、时间、业务规则等设置</w:t>
      </w:r>
      <w:r>
        <w:rPr>
          <w:rFonts w:hint="eastAsia"/>
          <w:color w:val="auto"/>
          <w:highlight w:val="none"/>
          <w:u w:val="none"/>
        </w:rPr>
        <w:t>（不包括上调认购费、申购费费率、固定开放日的变更等涉及投资者权利、义务的条款）</w:t>
      </w:r>
      <w:r>
        <w:rPr>
          <w:color w:val="auto"/>
          <w:highlight w:val="none"/>
          <w:u w:val="none"/>
        </w:rPr>
        <w:t>；</w:t>
      </w:r>
    </w:p>
    <w:p>
      <w:pPr>
        <w:pStyle w:val="81"/>
        <w:rPr>
          <w:color w:val="auto"/>
          <w:highlight w:val="none"/>
          <w:u w:val="none"/>
        </w:rPr>
      </w:pPr>
      <w:r>
        <w:rPr>
          <w:rFonts w:hint="eastAsia"/>
          <w:color w:val="auto"/>
          <w:highlight w:val="none"/>
          <w:u w:val="none"/>
        </w:rPr>
        <w:t>（</w:t>
      </w:r>
      <w:r>
        <w:rPr>
          <w:color w:val="auto"/>
          <w:highlight w:val="none"/>
          <w:u w:val="none"/>
        </w:rPr>
        <w:t>3）法律法规、中国证监会、基金业协会规定及本合同约定的可以由管理人自行决定的其他事项。</w:t>
      </w:r>
    </w:p>
    <w:p>
      <w:pPr>
        <w:pStyle w:val="81"/>
        <w:rPr>
          <w:color w:val="auto"/>
          <w:highlight w:val="none"/>
          <w:u w:val="none"/>
        </w:rPr>
      </w:pPr>
      <w:r>
        <w:rPr>
          <w:color w:val="auto"/>
          <w:highlight w:val="none"/>
          <w:u w:val="none"/>
        </w:rPr>
        <w:t>2.以下</w:t>
      </w:r>
      <w:r>
        <w:rPr>
          <w:rFonts w:hint="eastAsia"/>
          <w:color w:val="auto"/>
          <w:highlight w:val="none"/>
          <w:u w:val="none"/>
        </w:rPr>
        <w:t>合同变更</w:t>
      </w:r>
      <w:r>
        <w:rPr>
          <w:color w:val="auto"/>
          <w:highlight w:val="none"/>
          <w:u w:val="none"/>
        </w:rPr>
        <w:t>事项可由管理人和托管人协商</w:t>
      </w:r>
      <w:r>
        <w:rPr>
          <w:rFonts w:hint="eastAsia"/>
          <w:color w:val="auto"/>
          <w:highlight w:val="none"/>
          <w:u w:val="none"/>
        </w:rPr>
        <w:t>一致后决定</w:t>
      </w:r>
      <w:r>
        <w:rPr>
          <w:color w:val="auto"/>
          <w:highlight w:val="none"/>
          <w:u w:val="none"/>
        </w:rPr>
        <w:t>：</w:t>
      </w:r>
    </w:p>
    <w:p>
      <w:pPr>
        <w:pStyle w:val="81"/>
        <w:rPr>
          <w:color w:val="auto"/>
          <w:highlight w:val="none"/>
          <w:u w:val="none"/>
        </w:rPr>
      </w:pPr>
      <w:r>
        <w:rPr>
          <w:rFonts w:hint="eastAsia"/>
          <w:color w:val="auto"/>
          <w:highlight w:val="none"/>
          <w:u w:val="none"/>
        </w:rPr>
        <w:t>（</w:t>
      </w:r>
      <w:r>
        <w:rPr>
          <w:color w:val="auto"/>
          <w:highlight w:val="none"/>
          <w:u w:val="none"/>
        </w:rPr>
        <w:t>1）调低管理人、托管人的报酬标准；</w:t>
      </w:r>
    </w:p>
    <w:p>
      <w:pPr>
        <w:pStyle w:val="81"/>
        <w:rPr>
          <w:color w:val="auto"/>
          <w:highlight w:val="none"/>
          <w:u w:val="none"/>
        </w:rPr>
      </w:pPr>
      <w:r>
        <w:rPr>
          <w:rFonts w:hint="eastAsia"/>
          <w:color w:val="auto"/>
          <w:highlight w:val="none"/>
          <w:u w:val="none"/>
        </w:rPr>
        <w:t>（</w:t>
      </w:r>
      <w:r>
        <w:rPr>
          <w:color w:val="auto"/>
          <w:highlight w:val="none"/>
          <w:u w:val="none"/>
        </w:rPr>
        <w:t>2）因法律法规、中国证监会、基金业协会的相关规定发生变化而需要对基金合同进行变更；</w:t>
      </w:r>
    </w:p>
    <w:p>
      <w:pPr>
        <w:pStyle w:val="81"/>
        <w:rPr>
          <w:color w:val="auto"/>
          <w:highlight w:val="none"/>
          <w:u w:val="none"/>
        </w:rPr>
      </w:pPr>
      <w:r>
        <w:rPr>
          <w:rFonts w:hint="eastAsia"/>
          <w:color w:val="auto"/>
          <w:highlight w:val="none"/>
          <w:u w:val="none"/>
        </w:rPr>
        <w:t>（</w:t>
      </w:r>
      <w:r>
        <w:rPr>
          <w:color w:val="auto"/>
          <w:highlight w:val="none"/>
          <w:u w:val="none"/>
        </w:rPr>
        <w:t>3）</w:t>
      </w:r>
      <w:r>
        <w:rPr>
          <w:color w:val="auto"/>
          <w:szCs w:val="21"/>
          <w:highlight w:val="none"/>
          <w:u w:val="none"/>
        </w:rPr>
        <w:t>对本合同的修改</w:t>
      </w:r>
      <w:r>
        <w:rPr>
          <w:rFonts w:hint="eastAsia"/>
          <w:color w:val="auto"/>
          <w:szCs w:val="21"/>
          <w:highlight w:val="none"/>
          <w:u w:val="none"/>
        </w:rPr>
        <w:t>，</w:t>
      </w:r>
      <w:r>
        <w:rPr>
          <w:color w:val="auto"/>
          <w:szCs w:val="21"/>
          <w:highlight w:val="none"/>
          <w:u w:val="none"/>
        </w:rPr>
        <w:t>对基金份额持有人利益无实质性不利影响或不</w:t>
      </w:r>
      <w:r>
        <w:rPr>
          <w:rFonts w:hint="eastAsia"/>
          <w:color w:val="auto"/>
          <w:szCs w:val="21"/>
          <w:highlight w:val="none"/>
          <w:u w:val="none"/>
        </w:rPr>
        <w:t>会</w:t>
      </w:r>
      <w:r>
        <w:rPr>
          <w:color w:val="auto"/>
          <w:szCs w:val="21"/>
          <w:highlight w:val="none"/>
          <w:u w:val="none"/>
        </w:rPr>
        <w:t>导致本合同当事人权利义务关系发生变化；</w:t>
      </w:r>
    </w:p>
    <w:p>
      <w:pPr>
        <w:pStyle w:val="81"/>
        <w:rPr>
          <w:color w:val="auto"/>
          <w:highlight w:val="none"/>
          <w:u w:val="none"/>
        </w:rPr>
      </w:pPr>
      <w:r>
        <w:rPr>
          <w:rFonts w:hint="eastAsia"/>
          <w:color w:val="auto"/>
          <w:highlight w:val="none"/>
          <w:u w:val="none"/>
        </w:rPr>
        <w:t>（</w:t>
      </w:r>
      <w:r>
        <w:rPr>
          <w:color w:val="auto"/>
          <w:highlight w:val="none"/>
          <w:u w:val="none"/>
        </w:rPr>
        <w:t>4）法律法规、中国证监会、基金业协会规定可由管理人和托管人协商决定的其他事项。</w:t>
      </w:r>
    </w:p>
    <w:p>
      <w:pPr>
        <w:pStyle w:val="81"/>
        <w:rPr>
          <w:color w:val="auto"/>
          <w:highlight w:val="none"/>
          <w:u w:val="none"/>
        </w:rPr>
      </w:pPr>
      <w:r>
        <w:rPr>
          <w:color w:val="auto"/>
          <w:highlight w:val="none"/>
          <w:u w:val="none"/>
        </w:rPr>
        <w:t>3.除</w:t>
      </w:r>
      <w:r>
        <w:rPr>
          <w:rFonts w:hint="eastAsia"/>
          <w:color w:val="auto"/>
          <w:highlight w:val="none"/>
          <w:u w:val="none"/>
        </w:rPr>
        <w:t>上述第</w:t>
      </w:r>
      <w:r>
        <w:rPr>
          <w:color w:val="auto"/>
          <w:highlight w:val="none"/>
          <w:u w:val="none"/>
        </w:rPr>
        <w:t>1项、第2项约定的情形</w:t>
      </w:r>
      <w:r>
        <w:rPr>
          <w:rFonts w:hint="eastAsia"/>
          <w:color w:val="auto"/>
          <w:highlight w:val="none"/>
          <w:u w:val="none"/>
        </w:rPr>
        <w:t>以及根据本基金合同约定需要召开基金份额持有人大会决定的事项</w:t>
      </w:r>
      <w:r>
        <w:rPr>
          <w:color w:val="auto"/>
          <w:highlight w:val="none"/>
          <w:u w:val="none"/>
        </w:rPr>
        <w:t>外，应</w:t>
      </w:r>
      <w:r>
        <w:rPr>
          <w:rFonts w:hint="eastAsia"/>
          <w:color w:val="auto"/>
          <w:highlight w:val="none"/>
          <w:u w:val="none"/>
        </w:rPr>
        <w:t>通过如下任一方式变更基金合同：</w:t>
      </w:r>
    </w:p>
    <w:p>
      <w:pPr>
        <w:pStyle w:val="81"/>
        <w:rPr>
          <w:color w:val="auto"/>
          <w:highlight w:val="none"/>
          <w:u w:val="none"/>
        </w:rPr>
      </w:pPr>
      <w:r>
        <w:rPr>
          <w:rFonts w:hint="eastAsia"/>
          <w:color w:val="auto"/>
          <w:highlight w:val="none"/>
          <w:u w:val="none"/>
        </w:rPr>
        <w:t>（</w:t>
      </w:r>
      <w:r>
        <w:rPr>
          <w:color w:val="auto"/>
          <w:highlight w:val="none"/>
          <w:u w:val="none"/>
        </w:rPr>
        <w:t>1）</w:t>
      </w:r>
      <w:r>
        <w:rPr>
          <w:rFonts w:hint="eastAsia"/>
          <w:color w:val="auto"/>
          <w:highlight w:val="none"/>
          <w:u w:val="none"/>
        </w:rPr>
        <w:t>基金合同的变更获得管理人、托管人及所有份额持有人一致书面同意；或</w:t>
      </w:r>
    </w:p>
    <w:p>
      <w:pPr>
        <w:pStyle w:val="81"/>
        <w:rPr>
          <w:color w:val="auto"/>
          <w:highlight w:val="none"/>
          <w:u w:val="none"/>
        </w:rPr>
      </w:pPr>
      <w:r>
        <w:rPr>
          <w:rFonts w:hint="eastAsia"/>
          <w:color w:val="auto"/>
          <w:highlight w:val="none"/>
          <w:u w:val="none"/>
        </w:rPr>
        <w:t>（</w:t>
      </w:r>
      <w:r>
        <w:rPr>
          <w:color w:val="auto"/>
          <w:highlight w:val="none"/>
          <w:u w:val="none"/>
        </w:rPr>
        <w:t>2）</w:t>
      </w:r>
      <w:r>
        <w:rPr>
          <w:rFonts w:hint="eastAsia"/>
          <w:color w:val="auto"/>
          <w:highlight w:val="none"/>
          <w:u w:val="none"/>
        </w:rPr>
        <w:t>管理人就基金合同变更获得托管人的书面同意后，在其官方网站就基金合同变更内容进行公告，投资者不同意合同变更的，可在管理人公告明确的时间内退出本私募基金，投资者未在管理人公告明确的时间内申请退出的，视为同意合同变更，投资者退出本私募基金后，其对合同补充或修改的异议将不影响合同的变更，投资者同意，无论其是否提出退出申请，管理人变更合同的行为均不应被视为或裁定为管理人的违约行为。</w:t>
      </w:r>
    </w:p>
    <w:p>
      <w:pPr>
        <w:pStyle w:val="81"/>
        <w:rPr>
          <w:color w:val="auto"/>
          <w:highlight w:val="none"/>
          <w:u w:val="none"/>
        </w:rPr>
      </w:pPr>
      <w:r>
        <w:rPr>
          <w:color w:val="auto"/>
          <w:highlight w:val="none"/>
          <w:u w:val="none"/>
        </w:rPr>
        <w:t>4.基金合同发生变更、补充的，管理人应当按照基金业协会的要求及时向基金业协会报告。</w:t>
      </w:r>
    </w:p>
    <w:p>
      <w:pPr>
        <w:pStyle w:val="81"/>
        <w:rPr>
          <w:color w:val="auto"/>
          <w:highlight w:val="none"/>
          <w:u w:val="none"/>
        </w:rPr>
      </w:pPr>
      <w:r>
        <w:rPr>
          <w:color w:val="auto"/>
          <w:szCs w:val="21"/>
          <w:highlight w:val="none"/>
          <w:u w:val="none"/>
        </w:rPr>
        <w:t>（四）</w:t>
      </w:r>
      <w:r>
        <w:rPr>
          <w:color w:val="auto"/>
          <w:highlight w:val="none"/>
          <w:u w:val="none"/>
        </w:rPr>
        <w:t>基金的终止</w:t>
      </w:r>
    </w:p>
    <w:p>
      <w:pPr>
        <w:pStyle w:val="81"/>
        <w:rPr>
          <w:color w:val="auto"/>
          <w:highlight w:val="none"/>
          <w:u w:val="none"/>
        </w:rPr>
      </w:pPr>
      <w:r>
        <w:rPr>
          <w:color w:val="auto"/>
          <w:highlight w:val="none"/>
          <w:u w:val="none"/>
        </w:rPr>
        <w:t>发生下列任一情形的，本基金终止：</w:t>
      </w:r>
    </w:p>
    <w:p>
      <w:pPr>
        <w:pStyle w:val="81"/>
        <w:rPr>
          <w:color w:val="auto"/>
          <w:highlight w:val="none"/>
          <w:u w:val="none"/>
        </w:rPr>
      </w:pPr>
      <w:r>
        <w:rPr>
          <w:color w:val="auto"/>
          <w:highlight w:val="none"/>
          <w:u w:val="none"/>
        </w:rPr>
        <w:t>1.基金预计存续期限届满而未延期的；</w:t>
      </w:r>
    </w:p>
    <w:p>
      <w:pPr>
        <w:pStyle w:val="81"/>
        <w:rPr>
          <w:color w:val="auto"/>
          <w:highlight w:val="none"/>
          <w:u w:val="none"/>
        </w:rPr>
      </w:pPr>
      <w:r>
        <w:rPr>
          <w:color w:val="auto"/>
          <w:highlight w:val="none"/>
          <w:u w:val="none"/>
        </w:rPr>
        <w:t>2.基金份额持有人大会决定终止的；</w:t>
      </w:r>
    </w:p>
    <w:p>
      <w:pPr>
        <w:numPr>
          <w:ilvl w:val="0"/>
          <w:numId w:val="0"/>
        </w:numPr>
        <w:spacing w:line="360" w:lineRule="auto"/>
        <w:ind w:left="0" w:firstLine="420" w:firstLineChars="0"/>
        <w:rPr>
          <w:rFonts w:ascii="楷体" w:hAnsi="楷体" w:eastAsia="楷体"/>
          <w:color w:val="auto"/>
          <w:highlight w:val="none"/>
          <w:u w:val="none"/>
        </w:rPr>
      </w:pPr>
      <w:r>
        <w:rPr>
          <w:rFonts w:ascii="楷体" w:hAnsi="楷体" w:eastAsia="楷体"/>
          <w:color w:val="auto"/>
          <w:highlight w:val="none"/>
          <w:u w:val="none"/>
        </w:rPr>
        <w:t>3.管理人、托管人职责终止，在6个月内没有新管理人、新托管人承接的；</w:t>
      </w:r>
    </w:p>
    <w:p>
      <w:pPr>
        <w:numPr>
          <w:ilvl w:val="0"/>
          <w:numId w:val="0"/>
        </w:numPr>
        <w:spacing w:line="360" w:lineRule="auto"/>
        <w:ind w:left="0" w:firstLine="420" w:firstLineChars="0"/>
        <w:rPr>
          <w:rFonts w:ascii="楷体" w:hAnsi="楷体" w:eastAsia="楷体"/>
          <w:color w:val="auto"/>
          <w:highlight w:val="none"/>
          <w:u w:val="none"/>
        </w:rPr>
      </w:pPr>
      <w:r>
        <w:rPr>
          <w:rFonts w:ascii="楷体" w:hAnsi="楷体" w:eastAsia="楷体"/>
          <w:color w:val="auto"/>
          <w:highlight w:val="none"/>
          <w:u w:val="none"/>
        </w:rPr>
        <w:t>4.法律法规和本合同规定的其他情形。</w:t>
      </w:r>
    </w:p>
    <w:p>
      <w:pPr>
        <w:pStyle w:val="81"/>
        <w:rPr>
          <w:color w:val="auto"/>
          <w:highlight w:val="none"/>
          <w:u w:val="none"/>
        </w:rPr>
      </w:pPr>
      <w:r>
        <w:rPr>
          <w:color w:val="auto"/>
          <w:szCs w:val="21"/>
          <w:highlight w:val="none"/>
          <w:u w:val="none"/>
        </w:rPr>
        <w:t>（五）</w:t>
      </w:r>
      <w:r>
        <w:rPr>
          <w:rFonts w:hint="eastAsia"/>
          <w:color w:val="auto"/>
          <w:highlight w:val="none"/>
          <w:u w:val="none"/>
        </w:rPr>
        <w:t>基金合同的解除</w:t>
      </w:r>
    </w:p>
    <w:p>
      <w:pPr>
        <w:pStyle w:val="81"/>
        <w:rPr>
          <w:color w:val="auto"/>
          <w:highlight w:val="none"/>
          <w:u w:val="none"/>
        </w:rPr>
      </w:pPr>
      <w:r>
        <w:rPr>
          <w:rFonts w:hint="eastAsia"/>
          <w:color w:val="auto"/>
          <w:highlight w:val="none"/>
          <w:u w:val="none"/>
        </w:rPr>
        <w:t>根据本合同约定适用投资冷静期及回访确认机制的投资者在募集机构回访确认成功前有权以下述任一种方式解除基金合同：</w:t>
      </w:r>
      <w:r>
        <w:rPr>
          <w:color w:val="auto"/>
          <w:highlight w:val="none"/>
          <w:u w:val="none"/>
        </w:rPr>
        <w:t>（1）</w:t>
      </w:r>
      <w:r>
        <w:rPr>
          <w:rFonts w:hint="eastAsia"/>
          <w:color w:val="auto"/>
          <w:highlight w:val="none"/>
          <w:u w:val="none"/>
        </w:rPr>
        <w:t>向募集</w:t>
      </w:r>
      <w:r>
        <w:rPr>
          <w:color w:val="auto"/>
          <w:highlight w:val="none"/>
          <w:u w:val="none"/>
        </w:rPr>
        <w:t>机构提交</w:t>
      </w:r>
      <w:r>
        <w:rPr>
          <w:rFonts w:hint="eastAsia"/>
          <w:color w:val="auto"/>
          <w:highlight w:val="none"/>
          <w:u w:val="none"/>
        </w:rPr>
        <w:t>经投资者</w:t>
      </w:r>
      <w:r>
        <w:rPr>
          <w:color w:val="auto"/>
          <w:highlight w:val="none"/>
          <w:u w:val="none"/>
        </w:rPr>
        <w:t>签署的</w:t>
      </w:r>
      <w:r>
        <w:rPr>
          <w:rFonts w:hint="eastAsia"/>
          <w:color w:val="auto"/>
          <w:highlight w:val="none"/>
          <w:u w:val="none"/>
        </w:rPr>
        <w:t>书面</w:t>
      </w:r>
      <w:r>
        <w:rPr>
          <w:color w:val="auto"/>
          <w:highlight w:val="none"/>
          <w:u w:val="none"/>
        </w:rPr>
        <w:t>函件要</w:t>
      </w:r>
      <w:r>
        <w:rPr>
          <w:rFonts w:hint="eastAsia"/>
          <w:color w:val="auto"/>
          <w:highlight w:val="none"/>
          <w:u w:val="none"/>
        </w:rPr>
        <w:t>求解除</w:t>
      </w:r>
      <w:r>
        <w:rPr>
          <w:color w:val="auto"/>
          <w:highlight w:val="none"/>
          <w:u w:val="none"/>
        </w:rPr>
        <w:t>合同或撤销认购/申购申请；（2）向募集机构指定</w:t>
      </w:r>
      <w:r>
        <w:rPr>
          <w:rFonts w:hint="eastAsia"/>
          <w:color w:val="auto"/>
          <w:highlight w:val="none"/>
          <w:u w:val="none"/>
        </w:rPr>
        <w:t>邮箱</w:t>
      </w:r>
      <w:r>
        <w:rPr>
          <w:color w:val="auto"/>
          <w:highlight w:val="none"/>
          <w:u w:val="none"/>
        </w:rPr>
        <w:t>发送</w:t>
      </w:r>
      <w:r>
        <w:rPr>
          <w:rFonts w:hint="eastAsia"/>
          <w:color w:val="auto"/>
          <w:highlight w:val="none"/>
          <w:u w:val="none"/>
        </w:rPr>
        <w:t>电子</w:t>
      </w:r>
      <w:r>
        <w:rPr>
          <w:color w:val="auto"/>
          <w:highlight w:val="none"/>
          <w:u w:val="none"/>
        </w:rPr>
        <w:t>邮件要</w:t>
      </w:r>
      <w:r>
        <w:rPr>
          <w:rFonts w:hint="eastAsia"/>
          <w:color w:val="auto"/>
          <w:highlight w:val="none"/>
          <w:u w:val="none"/>
        </w:rPr>
        <w:t>求解除</w:t>
      </w:r>
      <w:r>
        <w:rPr>
          <w:color w:val="auto"/>
          <w:highlight w:val="none"/>
          <w:u w:val="none"/>
        </w:rPr>
        <w:t>合同或撤销认购/申购申请</w:t>
      </w:r>
      <w:r>
        <w:rPr>
          <w:rFonts w:hint="eastAsia"/>
          <w:color w:val="auto"/>
          <w:highlight w:val="none"/>
          <w:u w:val="none"/>
        </w:rPr>
        <w:t>；或</w:t>
      </w:r>
      <w:r>
        <w:rPr>
          <w:color w:val="auto"/>
          <w:highlight w:val="none"/>
          <w:u w:val="none"/>
        </w:rPr>
        <w:t>（3）</w:t>
      </w:r>
      <w:r>
        <w:rPr>
          <w:rFonts w:hint="eastAsia"/>
          <w:color w:val="auto"/>
          <w:highlight w:val="none"/>
          <w:u w:val="none"/>
        </w:rPr>
        <w:t>在</w:t>
      </w:r>
      <w:r>
        <w:rPr>
          <w:color w:val="auto"/>
          <w:highlight w:val="none"/>
          <w:u w:val="none"/>
        </w:rPr>
        <w:t>募集机构进行回访确认时明确表示要</w:t>
      </w:r>
      <w:r>
        <w:rPr>
          <w:rFonts w:hint="eastAsia"/>
          <w:color w:val="auto"/>
          <w:highlight w:val="none"/>
          <w:u w:val="none"/>
        </w:rPr>
        <w:t>解除</w:t>
      </w:r>
      <w:r>
        <w:rPr>
          <w:color w:val="auto"/>
          <w:highlight w:val="none"/>
          <w:u w:val="none"/>
        </w:rPr>
        <w:t>合同或撤销认购/申购申请</w:t>
      </w:r>
      <w:r>
        <w:rPr>
          <w:rFonts w:hint="eastAsia"/>
          <w:color w:val="auto"/>
          <w:highlight w:val="none"/>
          <w:u w:val="none"/>
        </w:rPr>
        <w:t>。但《募集办法》第三十二条列明的投资者不享有本条款规定的解除权。</w:t>
      </w:r>
    </w:p>
    <w:p>
      <w:pPr>
        <w:pStyle w:val="4"/>
        <w:snapToGrid/>
        <w:spacing w:beforeLines="100" w:afterLines="50"/>
        <w:rPr>
          <w:rFonts w:ascii="楷体" w:hAnsi="楷体" w:eastAsia="楷体"/>
          <w:color w:val="auto"/>
          <w:sz w:val="24"/>
          <w:highlight w:val="none"/>
          <w:u w:val="none"/>
        </w:rPr>
      </w:pPr>
      <w:bookmarkStart w:id="76" w:name="_Toc482974547"/>
      <w:r>
        <w:rPr>
          <w:rFonts w:ascii="楷体" w:hAnsi="楷体" w:eastAsia="楷体"/>
          <w:color w:val="auto"/>
          <w:sz w:val="24"/>
          <w:highlight w:val="none"/>
          <w:u w:val="none"/>
        </w:rPr>
        <w:t>第二十</w:t>
      </w:r>
      <w:r>
        <w:rPr>
          <w:rFonts w:hint="eastAsia" w:ascii="楷体" w:hAnsi="楷体" w:eastAsia="楷体"/>
          <w:color w:val="auto"/>
          <w:sz w:val="24"/>
          <w:highlight w:val="none"/>
          <w:u w:val="none"/>
        </w:rPr>
        <w:t>三</w:t>
      </w:r>
      <w:r>
        <w:rPr>
          <w:rFonts w:ascii="楷体" w:hAnsi="楷体" w:eastAsia="楷体"/>
          <w:color w:val="auto"/>
          <w:sz w:val="24"/>
          <w:highlight w:val="none"/>
          <w:u w:val="none"/>
        </w:rPr>
        <w:t>节基金财产的清算</w:t>
      </w:r>
      <w:bookmarkEnd w:id="76"/>
    </w:p>
    <w:p>
      <w:pPr>
        <w:pStyle w:val="81"/>
        <w:rPr>
          <w:color w:val="auto"/>
          <w:highlight w:val="none"/>
          <w:u w:val="none"/>
        </w:rPr>
      </w:pPr>
      <w:r>
        <w:rPr>
          <w:color w:val="auto"/>
          <w:szCs w:val="21"/>
          <w:highlight w:val="none"/>
          <w:u w:val="none"/>
        </w:rPr>
        <w:t>（一）</w:t>
      </w:r>
      <w:r>
        <w:rPr>
          <w:color w:val="auto"/>
          <w:highlight w:val="none"/>
          <w:u w:val="none"/>
        </w:rPr>
        <w:t>清算日</w:t>
      </w:r>
    </w:p>
    <w:p>
      <w:pPr>
        <w:pStyle w:val="81"/>
        <w:rPr>
          <w:color w:val="auto"/>
          <w:highlight w:val="none"/>
          <w:u w:val="none"/>
        </w:rPr>
      </w:pPr>
      <w:r>
        <w:rPr>
          <w:color w:val="auto"/>
          <w:highlight w:val="none"/>
          <w:u w:val="none"/>
        </w:rPr>
        <w:t>本</w:t>
      </w:r>
      <w:r>
        <w:rPr>
          <w:rFonts w:hint="eastAsia"/>
          <w:color w:val="auto"/>
          <w:highlight w:val="none"/>
          <w:u w:val="none"/>
        </w:rPr>
        <w:t>基金</w:t>
      </w:r>
      <w:r>
        <w:rPr>
          <w:color w:val="auto"/>
          <w:highlight w:val="none"/>
          <w:u w:val="none"/>
        </w:rPr>
        <w:t>终止后，应当按照法律法规和本合同的有关约定对基金财产进行清算。本</w:t>
      </w:r>
      <w:r>
        <w:rPr>
          <w:rFonts w:hint="eastAsia"/>
          <w:color w:val="auto"/>
          <w:highlight w:val="none"/>
          <w:u w:val="none"/>
        </w:rPr>
        <w:t>基金</w:t>
      </w:r>
      <w:r>
        <w:rPr>
          <w:color w:val="auto"/>
          <w:highlight w:val="none"/>
          <w:u w:val="none"/>
        </w:rPr>
        <w:t>终止日即基金财产清算之日。</w:t>
      </w:r>
    </w:p>
    <w:p>
      <w:pPr>
        <w:pStyle w:val="81"/>
        <w:rPr>
          <w:color w:val="auto"/>
          <w:highlight w:val="none"/>
          <w:u w:val="none"/>
        </w:rPr>
      </w:pPr>
      <w:r>
        <w:rPr>
          <w:color w:val="auto"/>
          <w:szCs w:val="21"/>
          <w:highlight w:val="none"/>
          <w:u w:val="none"/>
        </w:rPr>
        <w:t>（二）</w:t>
      </w:r>
      <w:r>
        <w:rPr>
          <w:color w:val="auto"/>
          <w:highlight w:val="none"/>
          <w:u w:val="none"/>
        </w:rPr>
        <w:t>基金财产清算小组</w:t>
      </w:r>
    </w:p>
    <w:p>
      <w:pPr>
        <w:pStyle w:val="81"/>
        <w:rPr>
          <w:color w:val="auto"/>
          <w:highlight w:val="none"/>
          <w:u w:val="none"/>
        </w:rPr>
      </w:pPr>
      <w:r>
        <w:rPr>
          <w:color w:val="auto"/>
          <w:highlight w:val="none"/>
          <w:u w:val="none"/>
        </w:rPr>
        <w:t>1.基金财产清算小组成员由管理人、托管人组成。清算小组可以聘用必要的工作人员。</w:t>
      </w:r>
    </w:p>
    <w:p>
      <w:pPr>
        <w:pStyle w:val="81"/>
        <w:rPr>
          <w:color w:val="auto"/>
          <w:highlight w:val="none"/>
          <w:u w:val="none"/>
        </w:rPr>
      </w:pPr>
      <w:r>
        <w:rPr>
          <w:color w:val="auto"/>
          <w:highlight w:val="none"/>
          <w:u w:val="none"/>
        </w:rPr>
        <w:t>2.基金财产清算小组负责基金财产的保管、清理、估价、变现和分配。基金财产清算小组可以依法进行必要的民事活动。</w:t>
      </w:r>
    </w:p>
    <w:p>
      <w:pPr>
        <w:pStyle w:val="81"/>
        <w:rPr>
          <w:color w:val="auto"/>
          <w:highlight w:val="none"/>
          <w:u w:val="none"/>
        </w:rPr>
      </w:pPr>
      <w:r>
        <w:rPr>
          <w:color w:val="auto"/>
          <w:highlight w:val="none"/>
          <w:u w:val="none"/>
        </w:rPr>
        <w:t>3.</w:t>
      </w:r>
      <w:r>
        <w:rPr>
          <w:rFonts w:hint="eastAsia"/>
          <w:color w:val="auto"/>
          <w:highlight w:val="none"/>
          <w:u w:val="none"/>
        </w:rPr>
        <w:t>清算</w:t>
      </w:r>
      <w:r>
        <w:rPr>
          <w:color w:val="auto"/>
          <w:highlight w:val="none"/>
          <w:u w:val="none"/>
        </w:rPr>
        <w:t>小组</w:t>
      </w:r>
      <w:r>
        <w:rPr>
          <w:rFonts w:hint="eastAsia"/>
          <w:color w:val="auto"/>
          <w:highlight w:val="none"/>
          <w:u w:val="none"/>
        </w:rPr>
        <w:t>各</w:t>
      </w:r>
      <w:r>
        <w:rPr>
          <w:color w:val="auto"/>
          <w:highlight w:val="none"/>
          <w:u w:val="none"/>
        </w:rPr>
        <w:t>成员的具体职责以本</w:t>
      </w:r>
      <w:r>
        <w:rPr>
          <w:rFonts w:hint="eastAsia"/>
          <w:color w:val="auto"/>
          <w:highlight w:val="none"/>
          <w:u w:val="none"/>
        </w:rPr>
        <w:t>节</w:t>
      </w:r>
      <w:r>
        <w:rPr>
          <w:color w:val="auto"/>
          <w:highlight w:val="none"/>
          <w:u w:val="none"/>
        </w:rPr>
        <w:t>约定为准</w:t>
      </w:r>
      <w:r>
        <w:rPr>
          <w:rFonts w:hint="eastAsia"/>
          <w:color w:val="auto"/>
          <w:highlight w:val="none"/>
          <w:u w:val="none"/>
        </w:rPr>
        <w:t>，</w:t>
      </w:r>
      <w:r>
        <w:rPr>
          <w:color w:val="auto"/>
          <w:highlight w:val="none"/>
          <w:u w:val="none"/>
        </w:rPr>
        <w:t>本节未约定的，清算小组</w:t>
      </w:r>
      <w:r>
        <w:rPr>
          <w:rFonts w:hint="eastAsia"/>
          <w:color w:val="auto"/>
          <w:highlight w:val="none"/>
          <w:u w:val="none"/>
        </w:rPr>
        <w:t>成员</w:t>
      </w:r>
      <w:r>
        <w:rPr>
          <w:color w:val="auto"/>
          <w:highlight w:val="none"/>
          <w:u w:val="none"/>
        </w:rPr>
        <w:t>可</w:t>
      </w:r>
      <w:r>
        <w:rPr>
          <w:rFonts w:hint="eastAsia"/>
          <w:color w:val="auto"/>
          <w:highlight w:val="none"/>
          <w:u w:val="none"/>
        </w:rPr>
        <w:t>以</w:t>
      </w:r>
      <w:r>
        <w:rPr>
          <w:color w:val="auto"/>
          <w:highlight w:val="none"/>
          <w:u w:val="none"/>
        </w:rPr>
        <w:t>书面形式进行补充约定。</w:t>
      </w:r>
    </w:p>
    <w:p>
      <w:pPr>
        <w:pStyle w:val="81"/>
        <w:rPr>
          <w:color w:val="auto"/>
          <w:highlight w:val="none"/>
          <w:u w:val="none"/>
        </w:rPr>
      </w:pPr>
      <w:r>
        <w:rPr>
          <w:color w:val="auto"/>
          <w:szCs w:val="21"/>
          <w:highlight w:val="none"/>
          <w:u w:val="none"/>
        </w:rPr>
        <w:t>（三）</w:t>
      </w:r>
      <w:r>
        <w:rPr>
          <w:color w:val="auto"/>
          <w:highlight w:val="none"/>
          <w:u w:val="none"/>
        </w:rPr>
        <w:t>基金财产清算的程序</w:t>
      </w:r>
    </w:p>
    <w:p>
      <w:pPr>
        <w:pStyle w:val="81"/>
        <w:rPr>
          <w:color w:val="auto"/>
          <w:highlight w:val="none"/>
          <w:u w:val="none"/>
        </w:rPr>
      </w:pPr>
      <w:r>
        <w:rPr>
          <w:color w:val="auto"/>
          <w:highlight w:val="none"/>
          <w:u w:val="none"/>
        </w:rPr>
        <w:t>1.基金终止后，由清算小组统一接管基金财产；</w:t>
      </w:r>
    </w:p>
    <w:p>
      <w:pPr>
        <w:pStyle w:val="81"/>
        <w:rPr>
          <w:color w:val="auto"/>
          <w:highlight w:val="none"/>
          <w:u w:val="none"/>
        </w:rPr>
      </w:pPr>
      <w:r>
        <w:rPr>
          <w:color w:val="auto"/>
          <w:highlight w:val="none"/>
          <w:u w:val="none"/>
        </w:rPr>
        <w:t>2.对基金财产进行清理和确认；</w:t>
      </w:r>
    </w:p>
    <w:p>
      <w:pPr>
        <w:pStyle w:val="81"/>
        <w:rPr>
          <w:color w:val="auto"/>
          <w:highlight w:val="none"/>
          <w:u w:val="none"/>
        </w:rPr>
      </w:pPr>
      <w:r>
        <w:rPr>
          <w:color w:val="auto"/>
          <w:highlight w:val="none"/>
          <w:u w:val="none"/>
        </w:rPr>
        <w:t>3.对基金财产进行变现；</w:t>
      </w:r>
    </w:p>
    <w:p>
      <w:pPr>
        <w:pStyle w:val="81"/>
        <w:rPr>
          <w:color w:val="auto"/>
          <w:highlight w:val="none"/>
          <w:u w:val="none"/>
        </w:rPr>
      </w:pPr>
      <w:r>
        <w:rPr>
          <w:color w:val="auto"/>
          <w:highlight w:val="none"/>
          <w:u w:val="none"/>
        </w:rPr>
        <w:t>4.制作清算报告；</w:t>
      </w:r>
    </w:p>
    <w:p>
      <w:pPr>
        <w:pStyle w:val="81"/>
        <w:rPr>
          <w:color w:val="auto"/>
          <w:highlight w:val="none"/>
          <w:u w:val="none"/>
        </w:rPr>
      </w:pPr>
      <w:r>
        <w:rPr>
          <w:color w:val="auto"/>
          <w:highlight w:val="none"/>
          <w:u w:val="none"/>
        </w:rPr>
        <w:t>5.对基金剩余财产进行分配。</w:t>
      </w:r>
    </w:p>
    <w:p>
      <w:pPr>
        <w:pStyle w:val="81"/>
        <w:rPr>
          <w:color w:val="auto"/>
          <w:highlight w:val="none"/>
          <w:u w:val="none"/>
        </w:rPr>
      </w:pPr>
      <w:bookmarkStart w:id="77" w:name="_Ref464739368"/>
      <w:r>
        <w:rPr>
          <w:color w:val="auto"/>
          <w:szCs w:val="21"/>
          <w:highlight w:val="none"/>
          <w:u w:val="none"/>
        </w:rPr>
        <w:t>（四）</w:t>
      </w:r>
      <w:r>
        <w:rPr>
          <w:rFonts w:hint="eastAsia"/>
          <w:color w:val="auto"/>
          <w:highlight w:val="none"/>
          <w:u w:val="none"/>
        </w:rPr>
        <w:t>基金</w:t>
      </w:r>
      <w:r>
        <w:rPr>
          <w:color w:val="auto"/>
          <w:highlight w:val="none"/>
          <w:u w:val="none"/>
        </w:rPr>
        <w:t>财产清算报告的告知安排</w:t>
      </w:r>
      <w:bookmarkEnd w:id="77"/>
    </w:p>
    <w:p>
      <w:pPr>
        <w:pStyle w:val="81"/>
        <w:rPr>
          <w:rFonts w:ascii="楷体" w:hAnsi="楷体" w:eastAsia="楷体"/>
          <w:color w:val="auto"/>
          <w:kern w:val="0"/>
          <w:szCs w:val="21"/>
          <w:highlight w:val="none"/>
          <w:u w:val="none"/>
        </w:rPr>
      </w:pPr>
      <w:r>
        <w:rPr>
          <w:color w:val="auto"/>
          <w:kern w:val="0"/>
          <w:szCs w:val="21"/>
          <w:highlight w:val="none"/>
          <w:u w:val="none"/>
        </w:rPr>
        <w:t>管理人应于</w:t>
      </w:r>
      <w:r>
        <w:rPr>
          <w:color w:val="auto"/>
          <w:szCs w:val="21"/>
          <w:highlight w:val="none"/>
          <w:u w:val="none"/>
        </w:rPr>
        <w:t>基金终止日后10个工作日内</w:t>
      </w:r>
      <w:r>
        <w:rPr>
          <w:rFonts w:hint="eastAsia"/>
          <w:color w:val="auto"/>
          <w:szCs w:val="21"/>
          <w:highlight w:val="none"/>
          <w:u w:val="none"/>
        </w:rPr>
        <w:t>完成基金财产的清理、确认、评估和变现等事宜，</w:t>
      </w:r>
      <w:r>
        <w:rPr>
          <w:color w:val="auto"/>
          <w:szCs w:val="21"/>
          <w:highlight w:val="none"/>
          <w:u w:val="none"/>
        </w:rPr>
        <w:t>编制清算报告并</w:t>
      </w:r>
      <w:r>
        <w:rPr>
          <w:rFonts w:hint="eastAsia"/>
          <w:color w:val="auto"/>
          <w:szCs w:val="21"/>
          <w:highlight w:val="none"/>
          <w:u w:val="none"/>
        </w:rPr>
        <w:t>发送</w:t>
      </w:r>
      <w:r>
        <w:rPr>
          <w:color w:val="auto"/>
          <w:szCs w:val="21"/>
          <w:highlight w:val="none"/>
          <w:u w:val="none"/>
        </w:rPr>
        <w:t>给托管人</w:t>
      </w:r>
      <w:r>
        <w:rPr>
          <w:rFonts w:hint="eastAsia"/>
          <w:color w:val="auto"/>
          <w:szCs w:val="21"/>
          <w:highlight w:val="none"/>
          <w:u w:val="none"/>
        </w:rPr>
        <w:t>。</w:t>
      </w:r>
      <w:r>
        <w:rPr>
          <w:color w:val="auto"/>
          <w:szCs w:val="21"/>
          <w:highlight w:val="none"/>
          <w:u w:val="none"/>
        </w:rPr>
        <w:t>托管人于收到清算报告后5个工作日内完成复核</w:t>
      </w:r>
      <w:r>
        <w:rPr>
          <w:rFonts w:hint="eastAsia"/>
          <w:color w:val="auto"/>
          <w:szCs w:val="21"/>
          <w:highlight w:val="none"/>
          <w:u w:val="none"/>
        </w:rPr>
        <w:t>并发送回</w:t>
      </w:r>
      <w:r>
        <w:rPr>
          <w:color w:val="auto"/>
          <w:szCs w:val="21"/>
          <w:highlight w:val="none"/>
          <w:u w:val="none"/>
        </w:rPr>
        <w:t>管理人</w:t>
      </w:r>
      <w:r>
        <w:rPr>
          <w:rFonts w:hint="eastAsia"/>
          <w:color w:val="auto"/>
          <w:szCs w:val="21"/>
          <w:highlight w:val="none"/>
          <w:u w:val="none"/>
        </w:rPr>
        <w:t>。</w:t>
      </w:r>
      <w:r>
        <w:rPr>
          <w:color w:val="auto"/>
          <w:szCs w:val="21"/>
          <w:highlight w:val="none"/>
          <w:u w:val="none"/>
        </w:rPr>
        <w:t>管理人</w:t>
      </w:r>
      <w:r>
        <w:rPr>
          <w:rFonts w:hint="eastAsia"/>
          <w:color w:val="auto"/>
          <w:szCs w:val="21"/>
          <w:highlight w:val="none"/>
          <w:u w:val="none"/>
        </w:rPr>
        <w:t>应于</w:t>
      </w:r>
      <w:r>
        <w:rPr>
          <w:color w:val="auto"/>
          <w:szCs w:val="21"/>
          <w:highlight w:val="none"/>
          <w:u w:val="none"/>
        </w:rPr>
        <w:t>收到后5</w:t>
      </w:r>
      <w:r>
        <w:rPr>
          <w:rFonts w:hint="eastAsia"/>
          <w:color w:val="auto"/>
          <w:szCs w:val="21"/>
          <w:highlight w:val="none"/>
          <w:u w:val="none"/>
        </w:rPr>
        <w:t>个</w:t>
      </w:r>
      <w:r>
        <w:rPr>
          <w:color w:val="auto"/>
          <w:szCs w:val="21"/>
          <w:highlight w:val="none"/>
          <w:u w:val="none"/>
        </w:rPr>
        <w:t>工作日内</w:t>
      </w:r>
      <w:r>
        <w:rPr>
          <w:rFonts w:hint="eastAsia"/>
          <w:color w:val="auto"/>
          <w:szCs w:val="21"/>
          <w:highlight w:val="none"/>
          <w:u w:val="none"/>
        </w:rPr>
        <w:t>按照</w:t>
      </w:r>
      <w:r>
        <w:rPr>
          <w:color w:val="auto"/>
          <w:szCs w:val="21"/>
          <w:highlight w:val="none"/>
          <w:u w:val="none"/>
        </w:rPr>
        <w:t>本合同</w:t>
      </w:r>
      <w:r>
        <w:rPr>
          <w:rFonts w:hint="eastAsia"/>
          <w:color w:val="auto"/>
          <w:szCs w:val="21"/>
          <w:highlight w:val="none"/>
          <w:u w:val="none"/>
        </w:rPr>
        <w:t>“信息</w:t>
      </w:r>
      <w:r>
        <w:rPr>
          <w:color w:val="auto"/>
          <w:szCs w:val="21"/>
          <w:highlight w:val="none"/>
          <w:u w:val="none"/>
        </w:rPr>
        <w:t>披露</w:t>
      </w:r>
      <w:r>
        <w:rPr>
          <w:rFonts w:hint="eastAsia"/>
          <w:color w:val="auto"/>
          <w:szCs w:val="21"/>
          <w:highlight w:val="none"/>
          <w:u w:val="none"/>
        </w:rPr>
        <w:t>与</w:t>
      </w:r>
      <w:r>
        <w:rPr>
          <w:color w:val="auto"/>
          <w:szCs w:val="21"/>
          <w:highlight w:val="none"/>
          <w:u w:val="none"/>
        </w:rPr>
        <w:t>报告</w:t>
      </w:r>
      <w:r>
        <w:rPr>
          <w:rFonts w:hint="eastAsia"/>
          <w:color w:val="auto"/>
          <w:szCs w:val="21"/>
          <w:highlight w:val="none"/>
          <w:u w:val="none"/>
        </w:rPr>
        <w:t>”</w:t>
      </w:r>
      <w:r>
        <w:rPr>
          <w:color w:val="auto"/>
          <w:szCs w:val="21"/>
          <w:highlight w:val="none"/>
          <w:u w:val="none"/>
        </w:rPr>
        <w:t>章节</w:t>
      </w:r>
      <w:r>
        <w:rPr>
          <w:rFonts w:hint="eastAsia"/>
          <w:color w:val="auto"/>
          <w:szCs w:val="21"/>
          <w:highlight w:val="none"/>
          <w:u w:val="none"/>
        </w:rPr>
        <w:t>约定</w:t>
      </w:r>
      <w:r>
        <w:rPr>
          <w:color w:val="auto"/>
          <w:szCs w:val="21"/>
          <w:highlight w:val="none"/>
          <w:u w:val="none"/>
        </w:rPr>
        <w:t>的方式</w:t>
      </w:r>
      <w:r>
        <w:rPr>
          <w:rFonts w:hint="eastAsia"/>
          <w:color w:val="auto"/>
          <w:szCs w:val="21"/>
          <w:highlight w:val="none"/>
          <w:u w:val="none"/>
        </w:rPr>
        <w:t>向</w:t>
      </w:r>
      <w:r>
        <w:rPr>
          <w:color w:val="auto"/>
          <w:kern w:val="0"/>
          <w:szCs w:val="21"/>
          <w:highlight w:val="none"/>
          <w:u w:val="none"/>
        </w:rPr>
        <w:t>份额持有人</w:t>
      </w:r>
      <w:r>
        <w:rPr>
          <w:rFonts w:hint="eastAsia"/>
          <w:color w:val="auto"/>
          <w:kern w:val="0"/>
          <w:szCs w:val="21"/>
          <w:highlight w:val="none"/>
          <w:u w:val="none"/>
        </w:rPr>
        <w:t>披露</w:t>
      </w:r>
      <w:r>
        <w:rPr>
          <w:color w:val="auto"/>
          <w:kern w:val="0"/>
          <w:szCs w:val="21"/>
          <w:highlight w:val="none"/>
          <w:u w:val="none"/>
        </w:rPr>
        <w:t>清算报告。</w:t>
      </w:r>
    </w:p>
    <w:p>
      <w:pPr>
        <w:pStyle w:val="81"/>
        <w:rPr>
          <w:color w:val="auto"/>
          <w:highlight w:val="none"/>
          <w:u w:val="none"/>
        </w:rPr>
      </w:pPr>
      <w:r>
        <w:rPr>
          <w:color w:val="auto"/>
          <w:szCs w:val="21"/>
          <w:highlight w:val="none"/>
          <w:u w:val="none"/>
        </w:rPr>
        <w:t>（五）</w:t>
      </w:r>
      <w:r>
        <w:rPr>
          <w:color w:val="auto"/>
          <w:highlight w:val="none"/>
          <w:u w:val="none"/>
        </w:rPr>
        <w:t>清算费用</w:t>
      </w:r>
    </w:p>
    <w:p>
      <w:pPr>
        <w:pStyle w:val="81"/>
        <w:rPr>
          <w:color w:val="auto"/>
          <w:highlight w:val="none"/>
          <w:u w:val="none"/>
        </w:rPr>
      </w:pPr>
      <w:r>
        <w:rPr>
          <w:color w:val="auto"/>
          <w:highlight w:val="none"/>
          <w:u w:val="none"/>
        </w:rPr>
        <w:t>清算费用是指基金财产清算小组在进行基金清算过程中发生的所有合理费用，清算费用由基金财产清算小组优先从基金财产中支付。清算费用包括但不仅限于：</w:t>
      </w:r>
    </w:p>
    <w:p>
      <w:pPr>
        <w:pStyle w:val="81"/>
        <w:rPr>
          <w:color w:val="auto"/>
          <w:highlight w:val="none"/>
          <w:u w:val="none"/>
        </w:rPr>
      </w:pPr>
      <w:r>
        <w:rPr>
          <w:color w:val="auto"/>
          <w:highlight w:val="none"/>
          <w:u w:val="none"/>
        </w:rPr>
        <w:t>1.聘请会计师、律师，以及其他工作人员所发生的报酬；</w:t>
      </w:r>
    </w:p>
    <w:p>
      <w:pPr>
        <w:pStyle w:val="81"/>
        <w:rPr>
          <w:color w:val="auto"/>
          <w:highlight w:val="none"/>
          <w:u w:val="none"/>
        </w:rPr>
      </w:pPr>
      <w:r>
        <w:rPr>
          <w:color w:val="auto"/>
          <w:highlight w:val="none"/>
          <w:u w:val="none"/>
        </w:rPr>
        <w:t>2.基金财产的保管、清理、估价、变现和分配产生的费用；</w:t>
      </w:r>
    </w:p>
    <w:p>
      <w:pPr>
        <w:pStyle w:val="81"/>
        <w:rPr>
          <w:color w:val="auto"/>
          <w:highlight w:val="none"/>
          <w:u w:val="none"/>
        </w:rPr>
      </w:pPr>
      <w:r>
        <w:rPr>
          <w:color w:val="auto"/>
          <w:highlight w:val="none"/>
          <w:u w:val="none"/>
        </w:rPr>
        <w:t>3.信息披露所发生的费用；</w:t>
      </w:r>
    </w:p>
    <w:p>
      <w:pPr>
        <w:pStyle w:val="81"/>
        <w:rPr>
          <w:color w:val="auto"/>
          <w:highlight w:val="none"/>
          <w:u w:val="none"/>
        </w:rPr>
      </w:pPr>
      <w:r>
        <w:rPr>
          <w:color w:val="auto"/>
          <w:highlight w:val="none"/>
          <w:u w:val="none"/>
        </w:rPr>
        <w:t>4.诉讼仲裁所发生的费用；</w:t>
      </w:r>
    </w:p>
    <w:p>
      <w:pPr>
        <w:pStyle w:val="81"/>
        <w:rPr>
          <w:color w:val="auto"/>
          <w:highlight w:val="none"/>
          <w:u w:val="none"/>
        </w:rPr>
      </w:pPr>
      <w:r>
        <w:rPr>
          <w:color w:val="auto"/>
          <w:highlight w:val="none"/>
          <w:u w:val="none"/>
        </w:rPr>
        <w:t>5.其他与清算事项相关的费用。</w:t>
      </w:r>
    </w:p>
    <w:p>
      <w:pPr>
        <w:pStyle w:val="81"/>
        <w:rPr>
          <w:rFonts w:ascii="楷体" w:hAnsi="楷体" w:eastAsia="楷体"/>
          <w:color w:val="auto"/>
          <w:kern w:val="0"/>
          <w:highlight w:val="none"/>
          <w:u w:val="none"/>
        </w:rPr>
      </w:pPr>
      <w:r>
        <w:rPr>
          <w:color w:val="auto"/>
          <w:kern w:val="0"/>
          <w:szCs w:val="21"/>
          <w:highlight w:val="none"/>
          <w:u w:val="none"/>
        </w:rPr>
        <w:t>（六）</w:t>
      </w:r>
      <w:r>
        <w:rPr>
          <w:color w:val="auto"/>
          <w:kern w:val="0"/>
          <w:highlight w:val="none"/>
          <w:u w:val="none"/>
        </w:rPr>
        <w:t>基金清算财产的分配</w:t>
      </w:r>
    </w:p>
    <w:p>
      <w:pPr>
        <w:pStyle w:val="81"/>
        <w:rPr>
          <w:color w:val="auto"/>
          <w:highlight w:val="none"/>
          <w:u w:val="none"/>
        </w:rPr>
      </w:pPr>
      <w:r>
        <w:rPr>
          <w:color w:val="auto"/>
          <w:highlight w:val="none"/>
          <w:u w:val="none"/>
        </w:rPr>
        <w:t>管理人依据基金财产清算的分配方案，将基金财产清算后的全部剩余资产</w:t>
      </w:r>
      <w:r>
        <w:rPr>
          <w:rFonts w:hint="eastAsia"/>
          <w:color w:val="auto"/>
          <w:highlight w:val="none"/>
          <w:u w:val="none"/>
        </w:rPr>
        <w:t>按如下</w:t>
      </w:r>
      <w:r>
        <w:rPr>
          <w:color w:val="auto"/>
          <w:highlight w:val="none"/>
          <w:u w:val="none"/>
        </w:rPr>
        <w:t>顺序进行分配：</w:t>
      </w:r>
    </w:p>
    <w:p>
      <w:pPr>
        <w:pStyle w:val="81"/>
        <w:rPr>
          <w:color w:val="auto"/>
          <w:highlight w:val="none"/>
          <w:u w:val="none"/>
        </w:rPr>
      </w:pPr>
      <w:r>
        <w:rPr>
          <w:color w:val="auto"/>
          <w:highlight w:val="none"/>
          <w:u w:val="none"/>
        </w:rPr>
        <w:t>1.</w:t>
      </w:r>
      <w:r>
        <w:rPr>
          <w:rFonts w:hint="eastAsia"/>
          <w:color w:val="auto"/>
          <w:highlight w:val="none"/>
          <w:u w:val="none"/>
        </w:rPr>
        <w:t>支付清算费用；</w:t>
      </w:r>
    </w:p>
    <w:p>
      <w:pPr>
        <w:pStyle w:val="81"/>
        <w:rPr>
          <w:color w:val="auto"/>
          <w:highlight w:val="none"/>
          <w:u w:val="none"/>
        </w:rPr>
      </w:pPr>
      <w:r>
        <w:rPr>
          <w:color w:val="auto"/>
          <w:highlight w:val="none"/>
          <w:u w:val="none"/>
        </w:rPr>
        <w:t>2.</w:t>
      </w:r>
      <w:r>
        <w:rPr>
          <w:rFonts w:hint="eastAsia"/>
          <w:color w:val="auto"/>
          <w:highlight w:val="none"/>
          <w:u w:val="none"/>
        </w:rPr>
        <w:t>缴纳所欠税款；</w:t>
      </w:r>
    </w:p>
    <w:p>
      <w:pPr>
        <w:pStyle w:val="81"/>
        <w:rPr>
          <w:color w:val="auto"/>
          <w:highlight w:val="none"/>
          <w:u w:val="none"/>
        </w:rPr>
      </w:pPr>
      <w:r>
        <w:rPr>
          <w:color w:val="auto"/>
          <w:highlight w:val="none"/>
          <w:u w:val="none"/>
        </w:rPr>
        <w:t>3.</w:t>
      </w:r>
      <w:r>
        <w:rPr>
          <w:rFonts w:hint="eastAsia"/>
          <w:color w:val="auto"/>
          <w:highlight w:val="none"/>
          <w:u w:val="none"/>
        </w:rPr>
        <w:t>支付管理费、托管费、外包服务</w:t>
      </w:r>
      <w:r>
        <w:rPr>
          <w:color w:val="auto"/>
          <w:highlight w:val="none"/>
          <w:u w:val="none"/>
        </w:rPr>
        <w:t>费</w:t>
      </w:r>
      <w:r>
        <w:rPr>
          <w:rFonts w:hint="eastAsia"/>
          <w:color w:val="auto"/>
          <w:highlight w:val="none"/>
          <w:u w:val="none"/>
        </w:rPr>
        <w:t>等基金相关费用；</w:t>
      </w:r>
    </w:p>
    <w:p>
      <w:pPr>
        <w:pStyle w:val="81"/>
        <w:rPr>
          <w:color w:val="auto"/>
          <w:highlight w:val="none"/>
          <w:u w:val="none"/>
        </w:rPr>
      </w:pPr>
      <w:r>
        <w:rPr>
          <w:color w:val="auto"/>
          <w:highlight w:val="none"/>
          <w:u w:val="none"/>
        </w:rPr>
        <w:t>4.</w:t>
      </w:r>
      <w:r>
        <w:rPr>
          <w:rFonts w:hint="eastAsia"/>
          <w:color w:val="auto"/>
          <w:highlight w:val="none"/>
          <w:u w:val="none"/>
        </w:rPr>
        <w:t>清偿</w:t>
      </w:r>
      <w:r>
        <w:rPr>
          <w:color w:val="auto"/>
          <w:highlight w:val="none"/>
          <w:u w:val="none"/>
        </w:rPr>
        <w:t>基金债务；</w:t>
      </w:r>
    </w:p>
    <w:p>
      <w:pPr>
        <w:pStyle w:val="81"/>
        <w:rPr>
          <w:color w:val="auto"/>
          <w:highlight w:val="none"/>
          <w:u w:val="none"/>
        </w:rPr>
      </w:pPr>
      <w:r>
        <w:rPr>
          <w:color w:val="auto"/>
          <w:highlight w:val="none"/>
          <w:u w:val="none"/>
        </w:rPr>
        <w:t>5.</w:t>
      </w:r>
      <w:r>
        <w:rPr>
          <w:rFonts w:hint="eastAsia"/>
          <w:color w:val="auto"/>
          <w:highlight w:val="none"/>
          <w:u w:val="none"/>
        </w:rPr>
        <w:t>剩余</w:t>
      </w:r>
      <w:r>
        <w:rPr>
          <w:color w:val="auto"/>
          <w:highlight w:val="none"/>
          <w:u w:val="none"/>
        </w:rPr>
        <w:t>基金财产</w:t>
      </w:r>
      <w:r>
        <w:rPr>
          <w:rFonts w:hint="eastAsia"/>
          <w:color w:val="auto"/>
          <w:highlight w:val="none"/>
          <w:u w:val="none"/>
        </w:rPr>
        <w:t>扣减</w:t>
      </w:r>
      <w:r>
        <w:rPr>
          <w:color w:val="auto"/>
          <w:highlight w:val="none"/>
          <w:u w:val="none"/>
        </w:rPr>
        <w:t>应计提的业绩报酬</w:t>
      </w:r>
      <w:r>
        <w:rPr>
          <w:rFonts w:hint="eastAsia"/>
          <w:color w:val="auto"/>
          <w:highlight w:val="none"/>
          <w:u w:val="none"/>
        </w:rPr>
        <w:t>后</w:t>
      </w:r>
      <w:r>
        <w:rPr>
          <w:color w:val="auto"/>
          <w:highlight w:val="none"/>
          <w:u w:val="none"/>
        </w:rPr>
        <w:t>（</w:t>
      </w:r>
      <w:r>
        <w:rPr>
          <w:rFonts w:hint="eastAsia"/>
          <w:color w:val="auto"/>
          <w:highlight w:val="none"/>
          <w:u w:val="none"/>
        </w:rPr>
        <w:t>如有</w:t>
      </w:r>
      <w:r>
        <w:rPr>
          <w:color w:val="auto"/>
          <w:highlight w:val="none"/>
          <w:u w:val="none"/>
        </w:rPr>
        <w:t>）</w:t>
      </w:r>
      <w:r>
        <w:rPr>
          <w:rFonts w:hint="eastAsia"/>
          <w:color w:val="auto"/>
          <w:highlight w:val="none"/>
          <w:u w:val="none"/>
        </w:rPr>
        <w:t>按各</w:t>
      </w:r>
      <w:r>
        <w:rPr>
          <w:color w:val="auto"/>
          <w:highlight w:val="none"/>
          <w:u w:val="none"/>
        </w:rPr>
        <w:t>份额持有人的份额比例进行分配</w:t>
      </w:r>
      <w:r>
        <w:rPr>
          <w:rFonts w:hint="eastAsia"/>
          <w:color w:val="auto"/>
          <w:highlight w:val="none"/>
          <w:u w:val="none"/>
        </w:rPr>
        <w:t>；</w:t>
      </w:r>
    </w:p>
    <w:p>
      <w:pPr>
        <w:pStyle w:val="81"/>
        <w:rPr>
          <w:color w:val="auto"/>
          <w:highlight w:val="none"/>
          <w:u w:val="none"/>
        </w:rPr>
      </w:pPr>
      <w:r>
        <w:rPr>
          <w:color w:val="auto"/>
          <w:highlight w:val="none"/>
          <w:u w:val="none"/>
        </w:rPr>
        <w:t>6.</w:t>
      </w:r>
      <w:r>
        <w:rPr>
          <w:rFonts w:hint="eastAsia"/>
          <w:color w:val="auto"/>
          <w:highlight w:val="none"/>
          <w:u w:val="none"/>
        </w:rPr>
        <w:t>向</w:t>
      </w:r>
      <w:r>
        <w:rPr>
          <w:color w:val="auto"/>
          <w:highlight w:val="none"/>
          <w:u w:val="none"/>
        </w:rPr>
        <w:t>管理人支付业绩报酬（</w:t>
      </w:r>
      <w:r>
        <w:rPr>
          <w:rFonts w:hint="eastAsia"/>
          <w:color w:val="auto"/>
          <w:highlight w:val="none"/>
          <w:u w:val="none"/>
        </w:rPr>
        <w:t>如有</w:t>
      </w:r>
      <w:r>
        <w:rPr>
          <w:color w:val="auto"/>
          <w:highlight w:val="none"/>
          <w:u w:val="none"/>
        </w:rPr>
        <w:t>）。</w:t>
      </w:r>
    </w:p>
    <w:p>
      <w:pPr>
        <w:pStyle w:val="81"/>
        <w:rPr>
          <w:color w:val="auto"/>
          <w:highlight w:val="none"/>
          <w:u w:val="none"/>
        </w:rPr>
      </w:pPr>
      <w:r>
        <w:rPr>
          <w:color w:val="auto"/>
          <w:highlight w:val="none"/>
          <w:u w:val="none"/>
        </w:rPr>
        <w:t>特别地，如</w:t>
      </w:r>
      <w:r>
        <w:rPr>
          <w:rFonts w:hint="eastAsia"/>
          <w:color w:val="auto"/>
          <w:highlight w:val="none"/>
          <w:u w:val="none"/>
        </w:rPr>
        <w:t>分配时</w:t>
      </w:r>
      <w:r>
        <w:rPr>
          <w:color w:val="auto"/>
          <w:highlight w:val="none"/>
          <w:u w:val="none"/>
        </w:rPr>
        <w:t>托管账户中的现金不足以按照上述顺序进行分配时，优先用于支付顺序在先的分配项目。</w:t>
      </w:r>
    </w:p>
    <w:p>
      <w:pPr>
        <w:pStyle w:val="81"/>
        <w:rPr>
          <w:color w:val="auto"/>
          <w:highlight w:val="none"/>
          <w:u w:val="none"/>
        </w:rPr>
      </w:pPr>
      <w:r>
        <w:rPr>
          <w:color w:val="auto"/>
          <w:highlight w:val="none"/>
          <w:u w:val="none"/>
        </w:rPr>
        <w:t>除交易所、登记结算机构、开户银行等自动扣缴的费用外，</w:t>
      </w:r>
      <w:r>
        <w:rPr>
          <w:rFonts w:hint="eastAsia"/>
          <w:color w:val="auto"/>
          <w:highlight w:val="none"/>
          <w:u w:val="none"/>
        </w:rPr>
        <w:t>基金财产</w:t>
      </w:r>
      <w:r>
        <w:rPr>
          <w:color w:val="auto"/>
          <w:highlight w:val="none"/>
          <w:u w:val="none"/>
        </w:rPr>
        <w:t>的分配由管理人向托管人出具</w:t>
      </w:r>
      <w:r>
        <w:rPr>
          <w:rFonts w:hint="eastAsia"/>
          <w:color w:val="auto"/>
          <w:highlight w:val="none"/>
          <w:u w:val="none"/>
        </w:rPr>
        <w:t>划款</w:t>
      </w:r>
      <w:r>
        <w:rPr>
          <w:color w:val="auto"/>
          <w:highlight w:val="none"/>
          <w:u w:val="none"/>
        </w:rPr>
        <w:t>指令，由托管人复核后办理支付。</w:t>
      </w:r>
      <w:r>
        <w:rPr>
          <w:rFonts w:hint="eastAsia"/>
          <w:color w:val="auto"/>
          <w:highlight w:val="none"/>
          <w:u w:val="none"/>
        </w:rPr>
        <w:t>未免</w:t>
      </w:r>
      <w:r>
        <w:rPr>
          <w:color w:val="auto"/>
          <w:highlight w:val="none"/>
          <w:u w:val="none"/>
        </w:rPr>
        <w:t>疑义，托管人</w:t>
      </w:r>
      <w:r>
        <w:rPr>
          <w:rFonts w:hint="eastAsia"/>
          <w:color w:val="auto"/>
          <w:szCs w:val="21"/>
          <w:highlight w:val="none"/>
          <w:u w:val="none"/>
        </w:rPr>
        <w:t>仅按照管理人的指令及时将可供</w:t>
      </w:r>
      <w:r>
        <w:rPr>
          <w:rFonts w:hint="eastAsia"/>
          <w:color w:val="auto"/>
          <w:highlight w:val="none"/>
          <w:u w:val="none"/>
        </w:rPr>
        <w:t>向份额持有人</w:t>
      </w:r>
      <w:r>
        <w:rPr>
          <w:rFonts w:hint="eastAsia"/>
          <w:color w:val="auto"/>
          <w:szCs w:val="21"/>
          <w:highlight w:val="none"/>
          <w:u w:val="none"/>
        </w:rPr>
        <w:t>分配的款项划付至基金募集账户或外包服务机构开立的清算账户，由管理人或其委托代销机构向投资者进行具体</w:t>
      </w:r>
      <w:r>
        <w:rPr>
          <w:rFonts w:hint="eastAsia"/>
          <w:color w:val="auto"/>
          <w:highlight w:val="none"/>
          <w:u w:val="none"/>
        </w:rPr>
        <w:t>分配。</w:t>
      </w:r>
    </w:p>
    <w:p>
      <w:pPr>
        <w:pStyle w:val="81"/>
        <w:rPr>
          <w:color w:val="auto"/>
          <w:highlight w:val="none"/>
          <w:u w:val="none"/>
        </w:rPr>
      </w:pPr>
      <w:r>
        <w:rPr>
          <w:color w:val="auto"/>
          <w:highlight w:val="none"/>
          <w:u w:val="none"/>
        </w:rPr>
        <w:t>自基金终止日至基金财产向份额持有人实际分配之日的期间，基金财产产生且未被列入基金清算财产的存款利息，用于支付基金财产清算、分配期间产生的银行手续费等，若有结余，归管理人所有；若不足，由管理人支付。</w:t>
      </w:r>
    </w:p>
    <w:p>
      <w:pPr>
        <w:pStyle w:val="81"/>
        <w:rPr>
          <w:color w:val="auto"/>
          <w:highlight w:val="none"/>
          <w:u w:val="none"/>
        </w:rPr>
      </w:pPr>
      <w:r>
        <w:rPr>
          <w:color w:val="auto"/>
          <w:szCs w:val="21"/>
          <w:highlight w:val="none"/>
          <w:u w:val="none"/>
        </w:rPr>
        <w:t>（七）</w:t>
      </w:r>
      <w:r>
        <w:rPr>
          <w:rFonts w:hint="eastAsia"/>
          <w:color w:val="auto"/>
          <w:szCs w:val="21"/>
          <w:highlight w:val="none"/>
          <w:u w:val="none"/>
        </w:rPr>
        <w:t>二次</w:t>
      </w:r>
      <w:r>
        <w:rPr>
          <w:color w:val="auto"/>
          <w:szCs w:val="21"/>
          <w:highlight w:val="none"/>
          <w:u w:val="none"/>
        </w:rPr>
        <w:t>清算</w:t>
      </w:r>
    </w:p>
    <w:p>
      <w:pPr>
        <w:pStyle w:val="81"/>
        <w:rPr>
          <w:color w:val="auto"/>
          <w:highlight w:val="none"/>
          <w:u w:val="none"/>
        </w:rPr>
      </w:pPr>
      <w:r>
        <w:rPr>
          <w:rFonts w:hint="eastAsia"/>
          <w:color w:val="auto"/>
          <w:szCs w:val="21"/>
          <w:highlight w:val="none"/>
          <w:u w:val="none"/>
        </w:rPr>
        <w:t>若本基金的部分投资标的不能在本节第（四）项约定的期限内变现完毕的，管理人将本基金届时已完成变现的部分资产按照本合同的约定进行清算。对于其余未能变现的资产，管理人有义务继续变现，变现完成后，管理人进行二次清算并分配。管理人应制定二次清算方案，该方案应经托管人认可，并按照清算</w:t>
      </w:r>
      <w:r>
        <w:rPr>
          <w:color w:val="auto"/>
          <w:highlight w:val="none"/>
          <w:u w:val="none"/>
        </w:rPr>
        <w:t>报告的</w:t>
      </w:r>
      <w:r>
        <w:rPr>
          <w:rFonts w:hint="eastAsia"/>
          <w:color w:val="auto"/>
          <w:highlight w:val="none"/>
          <w:u w:val="none"/>
        </w:rPr>
        <w:t>披露程序</w:t>
      </w:r>
      <w:r>
        <w:rPr>
          <w:color w:val="auto"/>
          <w:highlight w:val="none"/>
          <w:u w:val="none"/>
        </w:rPr>
        <w:t>向基金份额持有人进行披露</w:t>
      </w:r>
      <w:r>
        <w:rPr>
          <w:rFonts w:hint="eastAsia"/>
          <w:color w:val="auto"/>
          <w:highlight w:val="none"/>
          <w:u w:val="none"/>
        </w:rPr>
        <w:t>。</w:t>
      </w:r>
    </w:p>
    <w:p>
      <w:pPr>
        <w:pStyle w:val="81"/>
        <w:rPr>
          <w:color w:val="auto"/>
          <w:highlight w:val="none"/>
          <w:u w:val="none"/>
        </w:rPr>
      </w:pPr>
      <w:r>
        <w:rPr>
          <w:rFonts w:hint="eastAsia"/>
          <w:color w:val="auto"/>
          <w:highlight w:val="none"/>
          <w:u w:val="none"/>
        </w:rPr>
        <w:t>二次清算期间，管理人、托管人不计提管理费、托管费，</w:t>
      </w:r>
      <w:r>
        <w:rPr>
          <w:rFonts w:hint="eastAsia"/>
          <w:color w:val="auto"/>
          <w:szCs w:val="21"/>
          <w:highlight w:val="none"/>
          <w:u w:val="none"/>
        </w:rPr>
        <w:t>管理人不再进行投资运作</w:t>
      </w:r>
      <w:r>
        <w:rPr>
          <w:rFonts w:hint="eastAsia"/>
          <w:color w:val="auto"/>
          <w:highlight w:val="none"/>
          <w:u w:val="none"/>
        </w:rPr>
        <w:t>。二次清算流程同一次清算。</w:t>
      </w:r>
    </w:p>
    <w:p>
      <w:pPr>
        <w:pStyle w:val="81"/>
        <w:rPr>
          <w:rFonts w:ascii="楷体" w:hAnsi="楷体" w:eastAsia="楷体"/>
          <w:color w:val="auto"/>
          <w:kern w:val="0"/>
          <w:szCs w:val="21"/>
          <w:highlight w:val="none"/>
          <w:u w:val="none"/>
        </w:rPr>
      </w:pPr>
      <w:r>
        <w:rPr>
          <w:rFonts w:hint="eastAsia"/>
          <w:color w:val="auto"/>
          <w:highlight w:val="none"/>
          <w:u w:val="none"/>
        </w:rPr>
        <w:t>本基金持有多个未能</w:t>
      </w:r>
      <w:r>
        <w:rPr>
          <w:color w:val="auto"/>
          <w:highlight w:val="none"/>
          <w:u w:val="none"/>
        </w:rPr>
        <w:t>按期变现</w:t>
      </w:r>
      <w:r>
        <w:rPr>
          <w:rFonts w:hint="eastAsia"/>
          <w:color w:val="auto"/>
          <w:highlight w:val="none"/>
          <w:u w:val="none"/>
        </w:rPr>
        <w:t>投资标的的，管理人可按本条款约定进行多次变现及清算。</w:t>
      </w:r>
    </w:p>
    <w:p>
      <w:pPr>
        <w:pStyle w:val="81"/>
        <w:rPr>
          <w:rFonts w:ascii="楷体" w:hAnsi="楷体" w:eastAsia="楷体"/>
          <w:color w:val="auto"/>
          <w:kern w:val="0"/>
          <w:szCs w:val="21"/>
          <w:highlight w:val="none"/>
          <w:u w:val="none"/>
        </w:rPr>
      </w:pPr>
      <w:r>
        <w:rPr>
          <w:color w:val="auto"/>
          <w:kern w:val="0"/>
          <w:szCs w:val="21"/>
          <w:highlight w:val="none"/>
          <w:u w:val="none"/>
        </w:rPr>
        <w:t>（八）基金财产清算账册及文件的保存</w:t>
      </w:r>
    </w:p>
    <w:p>
      <w:pPr>
        <w:pStyle w:val="81"/>
        <w:rPr>
          <w:rFonts w:ascii="楷体" w:hAnsi="楷体" w:eastAsia="楷体"/>
          <w:color w:val="auto"/>
          <w:kern w:val="0"/>
          <w:szCs w:val="21"/>
          <w:highlight w:val="none"/>
          <w:u w:val="none"/>
        </w:rPr>
      </w:pPr>
      <w:r>
        <w:rPr>
          <w:color w:val="auto"/>
          <w:kern w:val="0"/>
          <w:szCs w:val="21"/>
          <w:highlight w:val="none"/>
          <w:u w:val="none"/>
        </w:rPr>
        <w:t>基金财产清算账册及有关文件应由管理人</w:t>
      </w:r>
      <w:r>
        <w:rPr>
          <w:rFonts w:hint="eastAsia"/>
          <w:color w:val="auto"/>
          <w:kern w:val="0"/>
          <w:szCs w:val="21"/>
          <w:highlight w:val="none"/>
          <w:u w:val="none"/>
        </w:rPr>
        <w:t>按照法律法规、相关监管规则的要求</w:t>
      </w:r>
      <w:r>
        <w:rPr>
          <w:color w:val="auto"/>
          <w:kern w:val="0"/>
          <w:szCs w:val="21"/>
          <w:highlight w:val="none"/>
          <w:u w:val="none"/>
        </w:rPr>
        <w:t>保存。</w:t>
      </w:r>
    </w:p>
    <w:p>
      <w:pPr>
        <w:pStyle w:val="81"/>
        <w:rPr>
          <w:rFonts w:ascii="楷体" w:hAnsi="楷体" w:eastAsia="楷体"/>
          <w:color w:val="auto"/>
          <w:kern w:val="0"/>
          <w:szCs w:val="21"/>
          <w:highlight w:val="none"/>
          <w:u w:val="none"/>
        </w:rPr>
      </w:pPr>
      <w:r>
        <w:rPr>
          <w:color w:val="auto"/>
          <w:kern w:val="0"/>
          <w:szCs w:val="21"/>
          <w:highlight w:val="none"/>
          <w:u w:val="none"/>
        </w:rPr>
        <w:t>（九）基金财产相关账户的注销</w:t>
      </w:r>
    </w:p>
    <w:p>
      <w:pPr>
        <w:pStyle w:val="81"/>
        <w:rPr>
          <w:color w:val="auto"/>
          <w:highlight w:val="none"/>
          <w:u w:val="none"/>
        </w:rPr>
      </w:pPr>
      <w:r>
        <w:rPr>
          <w:color w:val="auto"/>
          <w:szCs w:val="21"/>
          <w:highlight w:val="none"/>
          <w:u w:val="none"/>
        </w:rPr>
        <w:t>基金财产清算完毕后</w:t>
      </w:r>
      <w:r>
        <w:rPr>
          <w:rFonts w:hint="eastAsia"/>
          <w:color w:val="auto"/>
          <w:szCs w:val="21"/>
          <w:highlight w:val="none"/>
          <w:u w:val="none"/>
        </w:rPr>
        <w:t>，</w:t>
      </w:r>
      <w:r>
        <w:rPr>
          <w:color w:val="auto"/>
          <w:szCs w:val="21"/>
          <w:highlight w:val="none"/>
          <w:u w:val="none"/>
        </w:rPr>
        <w:t>托管人按照规定注销基金财产的</w:t>
      </w:r>
      <w:r>
        <w:rPr>
          <w:rFonts w:hint="eastAsia"/>
          <w:color w:val="auto"/>
          <w:szCs w:val="21"/>
          <w:highlight w:val="none"/>
          <w:u w:val="none"/>
        </w:rPr>
        <w:t>托管</w:t>
      </w:r>
      <w:r>
        <w:rPr>
          <w:color w:val="auto"/>
          <w:szCs w:val="21"/>
          <w:highlight w:val="none"/>
          <w:u w:val="none"/>
        </w:rPr>
        <w:t>账户及其他投资所需账户，管理人应给予必要的配合</w:t>
      </w:r>
      <w:r>
        <w:rPr>
          <w:rFonts w:hint="eastAsia"/>
          <w:color w:val="auto"/>
          <w:szCs w:val="21"/>
          <w:highlight w:val="none"/>
          <w:u w:val="none"/>
        </w:rPr>
        <w:t>。</w:t>
      </w:r>
    </w:p>
    <w:p>
      <w:pPr>
        <w:pStyle w:val="4"/>
        <w:snapToGrid/>
        <w:spacing w:beforeLines="100" w:afterLines="50"/>
        <w:rPr>
          <w:rFonts w:ascii="楷体" w:hAnsi="楷体" w:eastAsia="楷体"/>
          <w:color w:val="auto"/>
          <w:sz w:val="24"/>
          <w:highlight w:val="none"/>
          <w:u w:val="none"/>
        </w:rPr>
      </w:pPr>
      <w:bookmarkStart w:id="78" w:name="_Toc260056796"/>
      <w:bookmarkStart w:id="79" w:name="_Toc482974548"/>
      <w:r>
        <w:rPr>
          <w:rFonts w:ascii="楷体" w:hAnsi="楷体" w:eastAsia="楷体"/>
          <w:color w:val="auto"/>
          <w:sz w:val="24"/>
          <w:highlight w:val="none"/>
          <w:u w:val="none"/>
        </w:rPr>
        <w:t>第二十</w:t>
      </w:r>
      <w:r>
        <w:rPr>
          <w:rFonts w:hint="eastAsia" w:ascii="楷体" w:hAnsi="楷体" w:eastAsia="楷体"/>
          <w:color w:val="auto"/>
          <w:sz w:val="24"/>
          <w:highlight w:val="none"/>
          <w:u w:val="none"/>
        </w:rPr>
        <w:t>四</w:t>
      </w:r>
      <w:r>
        <w:rPr>
          <w:rFonts w:ascii="楷体" w:hAnsi="楷体" w:eastAsia="楷体"/>
          <w:color w:val="auto"/>
          <w:sz w:val="24"/>
          <w:highlight w:val="none"/>
          <w:u w:val="none"/>
        </w:rPr>
        <w:t>节违约责任</w:t>
      </w:r>
      <w:bookmarkEnd w:id="78"/>
      <w:bookmarkEnd w:id="79"/>
    </w:p>
    <w:p>
      <w:pPr>
        <w:pStyle w:val="81"/>
        <w:rPr>
          <w:color w:val="auto"/>
          <w:highlight w:val="none"/>
          <w:u w:val="none"/>
        </w:rPr>
      </w:pPr>
      <w:r>
        <w:rPr>
          <w:color w:val="auto"/>
          <w:szCs w:val="21"/>
          <w:highlight w:val="none"/>
          <w:u w:val="none"/>
        </w:rPr>
        <w:t>（一）</w:t>
      </w:r>
      <w:r>
        <w:rPr>
          <w:rFonts w:hint="eastAsia"/>
          <w:color w:val="auto"/>
          <w:highlight w:val="none"/>
          <w:u w:val="none"/>
        </w:rPr>
        <w:t>违约责任</w:t>
      </w:r>
    </w:p>
    <w:p>
      <w:pPr>
        <w:pStyle w:val="81"/>
        <w:rPr>
          <w:color w:val="auto"/>
          <w:highlight w:val="none"/>
          <w:u w:val="none"/>
        </w:rPr>
      </w:pPr>
      <w:r>
        <w:rPr>
          <w:color w:val="auto"/>
          <w:highlight w:val="none"/>
          <w:u w:val="none"/>
        </w:rPr>
        <w:t>当事人违反本合同，应当承担违约责任，给合同其他当事人造成损失的，应当承担赔偿责任</w:t>
      </w:r>
      <w:r>
        <w:rPr>
          <w:rFonts w:hint="eastAsia"/>
          <w:color w:val="auto"/>
          <w:highlight w:val="none"/>
          <w:u w:val="none"/>
        </w:rPr>
        <w:t>。</w:t>
      </w:r>
      <w:r>
        <w:rPr>
          <w:color w:val="auto"/>
          <w:highlight w:val="none"/>
          <w:u w:val="none"/>
        </w:rPr>
        <w:t>管理人</w:t>
      </w:r>
      <w:r>
        <w:rPr>
          <w:rFonts w:hint="eastAsia"/>
          <w:color w:val="auto"/>
          <w:highlight w:val="none"/>
          <w:u w:val="none"/>
        </w:rPr>
        <w:t>、</w:t>
      </w:r>
      <w:r>
        <w:rPr>
          <w:color w:val="auto"/>
          <w:highlight w:val="none"/>
          <w:u w:val="none"/>
        </w:rPr>
        <w:t>托管人在履行各自职责的过程中</w:t>
      </w:r>
      <w:r>
        <w:rPr>
          <w:rFonts w:hint="eastAsia"/>
          <w:color w:val="auto"/>
          <w:highlight w:val="none"/>
          <w:u w:val="none"/>
        </w:rPr>
        <w:t>，</w:t>
      </w:r>
      <w:r>
        <w:rPr>
          <w:color w:val="auto"/>
          <w:highlight w:val="none"/>
          <w:u w:val="none"/>
        </w:rPr>
        <w:t>违反法律法规规定或本合同约定</w:t>
      </w:r>
      <w:r>
        <w:rPr>
          <w:rFonts w:hint="eastAsia"/>
          <w:color w:val="auto"/>
          <w:highlight w:val="none"/>
          <w:u w:val="none"/>
        </w:rPr>
        <w:t>，</w:t>
      </w:r>
      <w:r>
        <w:rPr>
          <w:color w:val="auto"/>
          <w:highlight w:val="none"/>
          <w:u w:val="none"/>
        </w:rPr>
        <w:t>给基金财产或基金份额持有人造成损失的</w:t>
      </w:r>
      <w:r>
        <w:rPr>
          <w:rFonts w:hint="eastAsia"/>
          <w:color w:val="auto"/>
          <w:highlight w:val="none"/>
          <w:u w:val="none"/>
        </w:rPr>
        <w:t>，</w:t>
      </w:r>
      <w:r>
        <w:rPr>
          <w:color w:val="auto"/>
          <w:highlight w:val="none"/>
          <w:u w:val="none"/>
        </w:rPr>
        <w:t>应当分别对各自的行为依法承担赔偿责任</w:t>
      </w:r>
      <w:r>
        <w:rPr>
          <w:rFonts w:hint="eastAsia"/>
          <w:color w:val="auto"/>
          <w:highlight w:val="none"/>
          <w:u w:val="none"/>
        </w:rPr>
        <w:t>，</w:t>
      </w:r>
      <w:r>
        <w:rPr>
          <w:color w:val="auto"/>
          <w:highlight w:val="none"/>
          <w:u w:val="none"/>
        </w:rPr>
        <w:t>但不因各自职责以外的事由与其他当事人承担连带赔偿责任。</w:t>
      </w:r>
    </w:p>
    <w:p>
      <w:pPr>
        <w:pStyle w:val="81"/>
        <w:rPr>
          <w:color w:val="auto"/>
          <w:highlight w:val="none"/>
          <w:u w:val="none"/>
        </w:rPr>
      </w:pPr>
      <w:r>
        <w:rPr>
          <w:color w:val="auto"/>
          <w:szCs w:val="21"/>
          <w:highlight w:val="none"/>
          <w:u w:val="none"/>
        </w:rPr>
        <w:t>（二）</w:t>
      </w:r>
      <w:r>
        <w:rPr>
          <w:rFonts w:hint="eastAsia"/>
          <w:color w:val="auto"/>
          <w:highlight w:val="none"/>
          <w:u w:val="none"/>
        </w:rPr>
        <w:t>免责条款</w:t>
      </w:r>
    </w:p>
    <w:p>
      <w:pPr>
        <w:pStyle w:val="81"/>
        <w:ind w:firstLine="422"/>
        <w:rPr>
          <w:b/>
          <w:color w:val="auto"/>
          <w:highlight w:val="none"/>
          <w:u w:val="none"/>
        </w:rPr>
      </w:pPr>
      <w:r>
        <w:rPr>
          <w:b/>
          <w:color w:val="auto"/>
          <w:highlight w:val="none"/>
          <w:u w:val="none"/>
        </w:rPr>
        <w:t>1.管理人及/</w:t>
      </w:r>
      <w:r>
        <w:rPr>
          <w:rFonts w:hint="eastAsia"/>
          <w:b/>
          <w:color w:val="auto"/>
          <w:highlight w:val="none"/>
          <w:u w:val="none"/>
        </w:rPr>
        <w:t>或</w:t>
      </w:r>
      <w:r>
        <w:rPr>
          <w:b/>
          <w:color w:val="auto"/>
          <w:highlight w:val="none"/>
          <w:u w:val="none"/>
        </w:rPr>
        <w:t>托管人不对下列情形下基金财产遭受的损失承担任何责任：</w:t>
      </w:r>
    </w:p>
    <w:p>
      <w:pPr>
        <w:pStyle w:val="81"/>
        <w:ind w:firstLine="422"/>
        <w:rPr>
          <w:b/>
          <w:color w:val="auto"/>
          <w:highlight w:val="none"/>
          <w:u w:val="none"/>
        </w:rPr>
      </w:pPr>
      <w:r>
        <w:rPr>
          <w:rFonts w:hint="eastAsia"/>
          <w:b/>
          <w:color w:val="auto"/>
          <w:highlight w:val="none"/>
          <w:u w:val="none"/>
        </w:rPr>
        <w:t>（1）</w:t>
      </w:r>
      <w:r>
        <w:rPr>
          <w:b/>
          <w:color w:val="auto"/>
          <w:highlight w:val="none"/>
          <w:u w:val="none"/>
        </w:rPr>
        <w:t>管理人及/或托管人按照中国证监会</w:t>
      </w:r>
      <w:r>
        <w:rPr>
          <w:rFonts w:hint="eastAsia"/>
          <w:b/>
          <w:color w:val="auto"/>
          <w:highlight w:val="none"/>
          <w:u w:val="none"/>
        </w:rPr>
        <w:t>、</w:t>
      </w:r>
      <w:r>
        <w:rPr>
          <w:b/>
          <w:color w:val="auto"/>
          <w:highlight w:val="none"/>
          <w:u w:val="none"/>
        </w:rPr>
        <w:t>基金业协会的规定或当时有效的法律法规作为或不作为而造成的损失等</w:t>
      </w:r>
      <w:r>
        <w:rPr>
          <w:rFonts w:hint="eastAsia"/>
          <w:b/>
          <w:color w:val="auto"/>
          <w:highlight w:val="none"/>
          <w:u w:val="none"/>
        </w:rPr>
        <w:t>；</w:t>
      </w:r>
    </w:p>
    <w:p>
      <w:pPr>
        <w:pStyle w:val="81"/>
        <w:ind w:firstLine="422"/>
        <w:rPr>
          <w:b/>
          <w:color w:val="auto"/>
          <w:highlight w:val="none"/>
          <w:u w:val="none"/>
        </w:rPr>
      </w:pPr>
      <w:r>
        <w:rPr>
          <w:rFonts w:hint="eastAsia"/>
          <w:b/>
          <w:color w:val="auto"/>
          <w:highlight w:val="none"/>
          <w:u w:val="none"/>
        </w:rPr>
        <w:t>（2）</w:t>
      </w:r>
      <w:r>
        <w:rPr>
          <w:b/>
          <w:color w:val="auto"/>
          <w:highlight w:val="none"/>
          <w:u w:val="none"/>
        </w:rPr>
        <w:t>在没有故意或重大过失的情况下，管理人由于按照本合同规定的投资原则而行使或不行使其投资权而造成的损失等</w:t>
      </w:r>
      <w:r>
        <w:rPr>
          <w:rFonts w:hint="eastAsia"/>
          <w:b/>
          <w:color w:val="auto"/>
          <w:highlight w:val="none"/>
          <w:u w:val="none"/>
        </w:rPr>
        <w:t>；</w:t>
      </w:r>
    </w:p>
    <w:p>
      <w:pPr>
        <w:pStyle w:val="81"/>
        <w:ind w:firstLine="422"/>
        <w:rPr>
          <w:b/>
          <w:color w:val="auto"/>
          <w:highlight w:val="none"/>
          <w:u w:val="none"/>
        </w:rPr>
      </w:pPr>
      <w:r>
        <w:rPr>
          <w:rFonts w:hint="eastAsia"/>
          <w:b/>
          <w:color w:val="auto"/>
          <w:highlight w:val="none"/>
          <w:u w:val="none"/>
        </w:rPr>
        <w:t>（3）</w:t>
      </w:r>
      <w:r>
        <w:rPr>
          <w:b/>
          <w:color w:val="auto"/>
          <w:highlight w:val="none"/>
          <w:u w:val="none"/>
        </w:rPr>
        <w:t>托管人对因基金对外投资产生的存放或存管在托管人以外机构的</w:t>
      </w:r>
      <w:r>
        <w:rPr>
          <w:rFonts w:hint="eastAsia"/>
          <w:b/>
          <w:color w:val="auto"/>
          <w:highlight w:val="none"/>
          <w:u w:val="none"/>
        </w:rPr>
        <w:t>基金</w:t>
      </w:r>
      <w:r>
        <w:rPr>
          <w:b/>
          <w:color w:val="auto"/>
          <w:highlight w:val="none"/>
          <w:u w:val="none"/>
        </w:rPr>
        <w:t>财产由于该等机构或该机构会员单位等本合同当事人外第三方的欺诈、疏忽、过失或破产等原因给</w:t>
      </w:r>
      <w:r>
        <w:rPr>
          <w:rFonts w:hint="eastAsia"/>
          <w:b/>
          <w:color w:val="auto"/>
          <w:highlight w:val="none"/>
          <w:u w:val="none"/>
        </w:rPr>
        <w:t>基金</w:t>
      </w:r>
      <w:r>
        <w:rPr>
          <w:b/>
          <w:color w:val="auto"/>
          <w:highlight w:val="none"/>
          <w:u w:val="none"/>
        </w:rPr>
        <w:t>财产造成的损失等；</w:t>
      </w:r>
    </w:p>
    <w:p>
      <w:pPr>
        <w:pStyle w:val="81"/>
        <w:ind w:firstLine="422"/>
        <w:rPr>
          <w:b/>
          <w:color w:val="auto"/>
          <w:highlight w:val="none"/>
          <w:u w:val="none"/>
        </w:rPr>
      </w:pPr>
      <w:r>
        <w:rPr>
          <w:rFonts w:hint="eastAsia"/>
          <w:b/>
          <w:color w:val="auto"/>
          <w:highlight w:val="none"/>
          <w:u w:val="none"/>
        </w:rPr>
        <w:t>（4）</w:t>
      </w:r>
      <w:r>
        <w:rPr>
          <w:b/>
          <w:color w:val="auto"/>
          <w:highlight w:val="none"/>
          <w:u w:val="none"/>
        </w:rPr>
        <w:t>管理人对因</w:t>
      </w:r>
      <w:r>
        <w:rPr>
          <w:rFonts w:hint="eastAsia"/>
          <w:b/>
          <w:color w:val="auto"/>
          <w:highlight w:val="none"/>
          <w:u w:val="none"/>
        </w:rPr>
        <w:t>基金</w:t>
      </w:r>
      <w:r>
        <w:rPr>
          <w:b/>
          <w:color w:val="auto"/>
          <w:highlight w:val="none"/>
          <w:u w:val="none"/>
        </w:rPr>
        <w:t>对外投资产生的存放或存管在托管人以外机构的</w:t>
      </w:r>
      <w:r>
        <w:rPr>
          <w:rFonts w:hint="eastAsia"/>
          <w:b/>
          <w:color w:val="auto"/>
          <w:highlight w:val="none"/>
          <w:u w:val="none"/>
        </w:rPr>
        <w:t>基金</w:t>
      </w:r>
      <w:r>
        <w:rPr>
          <w:b/>
          <w:color w:val="auto"/>
          <w:highlight w:val="none"/>
          <w:u w:val="none"/>
        </w:rPr>
        <w:t>资产，在谨慎挑选并要求保证</w:t>
      </w:r>
      <w:r>
        <w:rPr>
          <w:rFonts w:hint="eastAsia"/>
          <w:b/>
          <w:color w:val="auto"/>
          <w:highlight w:val="none"/>
          <w:u w:val="none"/>
        </w:rPr>
        <w:t>基金</w:t>
      </w:r>
      <w:r>
        <w:rPr>
          <w:b/>
          <w:color w:val="auto"/>
          <w:highlight w:val="none"/>
          <w:u w:val="none"/>
        </w:rPr>
        <w:t>财产安全的前提下，就该机构对</w:t>
      </w:r>
      <w:r>
        <w:rPr>
          <w:rFonts w:hint="eastAsia"/>
          <w:b/>
          <w:color w:val="auto"/>
          <w:highlight w:val="none"/>
          <w:u w:val="none"/>
        </w:rPr>
        <w:t>基金</w:t>
      </w:r>
      <w:r>
        <w:rPr>
          <w:b/>
          <w:color w:val="auto"/>
          <w:highlight w:val="none"/>
          <w:u w:val="none"/>
        </w:rPr>
        <w:t>财产的安全保管义务及该机构或该机构会员单位等本合同当事人外第三方的欺诈、疏忽、过失或破产等原因给</w:t>
      </w:r>
      <w:r>
        <w:rPr>
          <w:rFonts w:hint="eastAsia"/>
          <w:b/>
          <w:color w:val="auto"/>
          <w:highlight w:val="none"/>
          <w:u w:val="none"/>
        </w:rPr>
        <w:t>基金</w:t>
      </w:r>
      <w:r>
        <w:rPr>
          <w:b/>
          <w:color w:val="auto"/>
          <w:highlight w:val="none"/>
          <w:u w:val="none"/>
        </w:rPr>
        <w:t>财产造成的损失等；</w:t>
      </w:r>
    </w:p>
    <w:p>
      <w:pPr>
        <w:pStyle w:val="81"/>
        <w:ind w:firstLine="422"/>
        <w:rPr>
          <w:b/>
          <w:color w:val="auto"/>
          <w:highlight w:val="none"/>
          <w:u w:val="none"/>
        </w:rPr>
      </w:pPr>
      <w:r>
        <w:rPr>
          <w:rFonts w:hint="eastAsia"/>
          <w:b/>
          <w:color w:val="auto"/>
          <w:highlight w:val="none"/>
          <w:u w:val="none"/>
        </w:rPr>
        <w:t>（5）托管人不负责本基金投资项目的审核义务，对管理人的任何投资行为（包括但不限于其投资策略、决定）及其投资回报不承担任何责任。由于本基金的设计安排、管理、运作模式而产生的任何经济责任和法律责任，托管人不予承担。托管人对托管账户之外的资产不行使保管职责，包括但不限于：基金初始销售期间存放于募集账户的资金；由于基金收益分配及清算而已经从托管账户划拨出的资金；由于投资从托管账户划拨出的资金及所购买的资产等。托管资产离开托管账户后发生损失的，托管人不承担任何责任。由于非托管人的过错致使其保管的资产发生毁损或灭失的，托管人不承担赔偿责任；</w:t>
      </w:r>
    </w:p>
    <w:p>
      <w:pPr>
        <w:pStyle w:val="81"/>
        <w:ind w:firstLine="422"/>
        <w:rPr>
          <w:b/>
          <w:color w:val="auto"/>
          <w:highlight w:val="none"/>
          <w:u w:val="none"/>
        </w:rPr>
      </w:pPr>
      <w:r>
        <w:rPr>
          <w:rFonts w:hint="eastAsia"/>
          <w:b/>
          <w:color w:val="auto"/>
          <w:highlight w:val="none"/>
          <w:u w:val="none"/>
        </w:rPr>
        <w:t>（6）</w:t>
      </w:r>
      <w:r>
        <w:rPr>
          <w:b/>
          <w:color w:val="auto"/>
          <w:highlight w:val="none"/>
          <w:u w:val="none"/>
        </w:rPr>
        <w:t>不可抗力</w:t>
      </w:r>
      <w:r>
        <w:rPr>
          <w:rFonts w:hint="eastAsia"/>
          <w:b/>
          <w:color w:val="auto"/>
          <w:highlight w:val="none"/>
          <w:u w:val="none"/>
        </w:rPr>
        <w:t>；</w:t>
      </w:r>
    </w:p>
    <w:p>
      <w:pPr>
        <w:pStyle w:val="81"/>
        <w:ind w:firstLine="422"/>
        <w:rPr>
          <w:b/>
          <w:color w:val="auto"/>
          <w:highlight w:val="none"/>
          <w:u w:val="none"/>
        </w:rPr>
      </w:pPr>
      <w:r>
        <w:rPr>
          <w:rFonts w:hint="eastAsia"/>
          <w:b/>
          <w:color w:val="auto"/>
          <w:highlight w:val="none"/>
          <w:u w:val="none"/>
        </w:rPr>
        <w:t>（7）</w:t>
      </w:r>
      <w:r>
        <w:rPr>
          <w:b/>
          <w:color w:val="auto"/>
          <w:highlight w:val="none"/>
          <w:u w:val="none"/>
        </w:rPr>
        <w:t>法律法规规定及本合同约定的其他情况</w:t>
      </w:r>
      <w:r>
        <w:rPr>
          <w:rFonts w:hint="eastAsia"/>
          <w:b/>
          <w:color w:val="auto"/>
          <w:highlight w:val="none"/>
          <w:u w:val="none"/>
        </w:rPr>
        <w:t>。</w:t>
      </w:r>
    </w:p>
    <w:p>
      <w:pPr>
        <w:pStyle w:val="81"/>
        <w:ind w:firstLine="422"/>
        <w:rPr>
          <w:b/>
          <w:color w:val="auto"/>
          <w:highlight w:val="none"/>
          <w:u w:val="none"/>
        </w:rPr>
      </w:pPr>
      <w:r>
        <w:rPr>
          <w:b/>
          <w:color w:val="auto"/>
          <w:highlight w:val="none"/>
          <w:u w:val="none"/>
        </w:rPr>
        <w:t>2.份额持有人理解</w:t>
      </w:r>
      <w:r>
        <w:rPr>
          <w:rFonts w:hint="eastAsia"/>
          <w:b/>
          <w:color w:val="auto"/>
          <w:highlight w:val="none"/>
          <w:u w:val="none"/>
        </w:rPr>
        <w:t>基金</w:t>
      </w:r>
      <w:r>
        <w:rPr>
          <w:b/>
          <w:color w:val="auto"/>
          <w:highlight w:val="none"/>
          <w:u w:val="none"/>
        </w:rPr>
        <w:t>财产的投资、运作、托管面临本合同</w:t>
      </w:r>
      <w:r>
        <w:rPr>
          <w:rFonts w:hint="eastAsia"/>
          <w:b/>
          <w:color w:val="auto"/>
          <w:highlight w:val="none"/>
          <w:u w:val="none"/>
        </w:rPr>
        <w:t>《风险揭示书》中</w:t>
      </w:r>
      <w:r>
        <w:rPr>
          <w:b/>
          <w:color w:val="auto"/>
          <w:highlight w:val="none"/>
          <w:u w:val="none"/>
        </w:rPr>
        <w:t>列举的各类风险，管理人及托管人就委托财产面临的上述固有风险免于承担责任</w:t>
      </w:r>
      <w:r>
        <w:rPr>
          <w:rFonts w:hint="eastAsia"/>
          <w:b/>
          <w:color w:val="auto"/>
          <w:highlight w:val="none"/>
          <w:u w:val="none"/>
        </w:rPr>
        <w:t>。</w:t>
      </w:r>
    </w:p>
    <w:p>
      <w:pPr>
        <w:pStyle w:val="81"/>
        <w:ind w:firstLine="422"/>
        <w:rPr>
          <w:b/>
          <w:color w:val="auto"/>
          <w:highlight w:val="none"/>
          <w:u w:val="none"/>
        </w:rPr>
      </w:pPr>
      <w:r>
        <w:rPr>
          <w:b/>
          <w:color w:val="auto"/>
          <w:highlight w:val="none"/>
          <w:u w:val="none"/>
        </w:rPr>
        <w:t>3.本合同签署之后发生的不可抗力事件导致合同当事人无法全部履行或部分履行本合同的，任何一方当事人不承担违约责任，但是，各方当事人应当在合理范围内勤勉尽责，以降低此类事件对</w:t>
      </w:r>
      <w:r>
        <w:rPr>
          <w:rFonts w:hint="eastAsia"/>
          <w:b/>
          <w:color w:val="auto"/>
          <w:highlight w:val="none"/>
          <w:u w:val="none"/>
        </w:rPr>
        <w:t>基金</w:t>
      </w:r>
      <w:r>
        <w:rPr>
          <w:b/>
          <w:color w:val="auto"/>
          <w:highlight w:val="none"/>
          <w:u w:val="none"/>
        </w:rPr>
        <w:t>财产和其他当事人的影响</w:t>
      </w:r>
      <w:r>
        <w:rPr>
          <w:rFonts w:hint="eastAsia"/>
          <w:b/>
          <w:color w:val="auto"/>
          <w:highlight w:val="none"/>
          <w:u w:val="none"/>
        </w:rPr>
        <w:t>。</w:t>
      </w:r>
    </w:p>
    <w:p>
      <w:pPr>
        <w:pStyle w:val="81"/>
        <w:ind w:firstLine="422"/>
        <w:rPr>
          <w:b/>
          <w:color w:val="auto"/>
          <w:highlight w:val="none"/>
          <w:u w:val="none"/>
        </w:rPr>
      </w:pPr>
      <w:r>
        <w:rPr>
          <w:b/>
          <w:color w:val="auto"/>
          <w:szCs w:val="21"/>
          <w:highlight w:val="none"/>
          <w:u w:val="none"/>
        </w:rPr>
        <w:t>（三）</w:t>
      </w:r>
      <w:r>
        <w:rPr>
          <w:b/>
          <w:color w:val="auto"/>
          <w:highlight w:val="none"/>
          <w:u w:val="none"/>
        </w:rPr>
        <w:t>在发生一方或多方违约的情况下，在最大限度地保护基金份额持有人利益的前提下，本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pPr>
        <w:pStyle w:val="81"/>
        <w:ind w:firstLine="422"/>
        <w:rPr>
          <w:b/>
          <w:color w:val="auto"/>
          <w:highlight w:val="none"/>
          <w:u w:val="none"/>
        </w:rPr>
      </w:pPr>
      <w:r>
        <w:rPr>
          <w:b/>
          <w:color w:val="auto"/>
          <w:szCs w:val="21"/>
          <w:highlight w:val="none"/>
          <w:u w:val="none"/>
        </w:rPr>
        <w:t>（四）</w:t>
      </w:r>
      <w:r>
        <w:rPr>
          <w:rFonts w:hint="eastAsia"/>
          <w:b/>
          <w:color w:val="auto"/>
          <w:highlight w:val="none"/>
          <w:u w:val="none"/>
        </w:rPr>
        <w:t>本合同所指“损失”均为直接损失。</w:t>
      </w:r>
    </w:p>
    <w:p>
      <w:pPr>
        <w:pStyle w:val="81"/>
        <w:ind w:firstLine="422"/>
        <w:rPr>
          <w:b/>
          <w:color w:val="auto"/>
          <w:highlight w:val="none"/>
          <w:u w:val="none"/>
        </w:rPr>
      </w:pPr>
      <w:r>
        <w:rPr>
          <w:b/>
          <w:color w:val="auto"/>
          <w:szCs w:val="21"/>
          <w:highlight w:val="none"/>
          <w:u w:val="none"/>
        </w:rPr>
        <w:t>（五）</w:t>
      </w:r>
      <w:r>
        <w:rPr>
          <w:b/>
          <w:color w:val="auto"/>
          <w:highlight w:val="none"/>
          <w:u w:val="none"/>
        </w:rPr>
        <w:t>本合同任何一方未经</w:t>
      </w:r>
      <w:r>
        <w:rPr>
          <w:rFonts w:hint="eastAsia"/>
          <w:b/>
          <w:color w:val="auto"/>
          <w:highlight w:val="none"/>
          <w:u w:val="none"/>
        </w:rPr>
        <w:t>其他</w:t>
      </w:r>
      <w:r>
        <w:rPr>
          <w:b/>
          <w:color w:val="auto"/>
          <w:highlight w:val="none"/>
          <w:u w:val="none"/>
        </w:rPr>
        <w:t>方事先书面同意，不得使用</w:t>
      </w:r>
      <w:r>
        <w:rPr>
          <w:rFonts w:hint="eastAsia"/>
          <w:b/>
          <w:color w:val="auto"/>
          <w:highlight w:val="none"/>
          <w:u w:val="none"/>
        </w:rPr>
        <w:t>其他方</w:t>
      </w:r>
      <w:r>
        <w:rPr>
          <w:b/>
          <w:color w:val="auto"/>
          <w:highlight w:val="none"/>
          <w:u w:val="none"/>
        </w:rPr>
        <w:t>的商标、标识、商业信息等知识产权，否则守约方有权解除本合同并向违约方追究责任。</w:t>
      </w:r>
    </w:p>
    <w:p>
      <w:pPr>
        <w:pStyle w:val="81"/>
        <w:ind w:firstLine="422"/>
        <w:rPr>
          <w:rFonts w:ascii="楷体" w:hAnsi="楷体" w:eastAsia="楷体"/>
          <w:b/>
          <w:color w:val="auto"/>
          <w:highlight w:val="none"/>
          <w:u w:val="none"/>
        </w:rPr>
      </w:pPr>
      <w:r>
        <w:rPr>
          <w:b/>
          <w:color w:val="auto"/>
          <w:szCs w:val="21"/>
          <w:highlight w:val="none"/>
          <w:u w:val="none"/>
        </w:rPr>
        <w:t>（六）</w:t>
      </w:r>
      <w:r>
        <w:rPr>
          <w:b/>
          <w:color w:val="auto"/>
          <w:highlight w:val="none"/>
          <w:u w:val="none"/>
        </w:rPr>
        <w:t>托管人仅承担</w:t>
      </w:r>
      <w:r>
        <w:rPr>
          <w:rFonts w:hint="eastAsia"/>
          <w:b/>
          <w:color w:val="auto"/>
          <w:highlight w:val="none"/>
          <w:u w:val="none"/>
        </w:rPr>
        <w:t>法律</w:t>
      </w:r>
      <w:r>
        <w:rPr>
          <w:b/>
          <w:color w:val="auto"/>
          <w:highlight w:val="none"/>
          <w:u w:val="none"/>
        </w:rPr>
        <w:t>法规规定以及本合同约定的相关责任及义务</w:t>
      </w:r>
      <w:r>
        <w:rPr>
          <w:rFonts w:hint="eastAsia"/>
          <w:b/>
          <w:color w:val="auto"/>
          <w:highlight w:val="none"/>
          <w:u w:val="none"/>
        </w:rPr>
        <w:t>。</w:t>
      </w:r>
      <w:r>
        <w:rPr>
          <w:b/>
          <w:color w:val="auto"/>
          <w:highlight w:val="none"/>
          <w:u w:val="none"/>
        </w:rPr>
        <w:t>如管理人对托管人所承担的责任进行虚假宣传，</w:t>
      </w:r>
      <w:r>
        <w:rPr>
          <w:rFonts w:hint="eastAsia"/>
          <w:b/>
          <w:color w:val="auto"/>
          <w:highlight w:val="none"/>
          <w:u w:val="none"/>
        </w:rPr>
        <w:t>或</w:t>
      </w:r>
      <w:r>
        <w:rPr>
          <w:b/>
          <w:color w:val="auto"/>
          <w:highlight w:val="none"/>
          <w:u w:val="none"/>
        </w:rPr>
        <w:t>以托管人名义或利用托管人商誉进行非法募集资金、承诺投资收益等违规活动，托管人有权向管理人追究违约责任和侵权责任。</w:t>
      </w:r>
    </w:p>
    <w:p>
      <w:pPr>
        <w:pStyle w:val="4"/>
        <w:snapToGrid/>
        <w:spacing w:beforeLines="100" w:afterLines="50"/>
        <w:rPr>
          <w:rFonts w:ascii="楷体" w:hAnsi="楷体" w:eastAsia="楷体"/>
          <w:color w:val="auto"/>
          <w:sz w:val="24"/>
          <w:highlight w:val="none"/>
          <w:u w:val="none"/>
        </w:rPr>
      </w:pPr>
      <w:bookmarkStart w:id="80" w:name="_Toc482974549"/>
      <w:r>
        <w:rPr>
          <w:rFonts w:ascii="楷体" w:hAnsi="楷体" w:eastAsia="楷体"/>
          <w:color w:val="auto"/>
          <w:sz w:val="24"/>
          <w:highlight w:val="none"/>
          <w:u w:val="none"/>
        </w:rPr>
        <w:t>第二十</w:t>
      </w:r>
      <w:r>
        <w:rPr>
          <w:rFonts w:hint="eastAsia" w:ascii="楷体" w:hAnsi="楷体" w:eastAsia="楷体"/>
          <w:color w:val="auto"/>
          <w:sz w:val="24"/>
          <w:highlight w:val="none"/>
          <w:u w:val="none"/>
        </w:rPr>
        <w:t>五</w:t>
      </w:r>
      <w:r>
        <w:rPr>
          <w:rFonts w:ascii="楷体" w:hAnsi="楷体" w:eastAsia="楷体"/>
          <w:color w:val="auto"/>
          <w:sz w:val="24"/>
          <w:highlight w:val="none"/>
          <w:u w:val="none"/>
        </w:rPr>
        <w:t>节</w:t>
      </w:r>
      <w:r>
        <w:rPr>
          <w:rFonts w:hint="eastAsia" w:ascii="楷体" w:hAnsi="楷体" w:eastAsia="楷体"/>
          <w:color w:val="auto"/>
          <w:sz w:val="24"/>
          <w:highlight w:val="none"/>
          <w:u w:val="none"/>
        </w:rPr>
        <w:t>争议的处理</w:t>
      </w:r>
      <w:bookmarkEnd w:id="80"/>
    </w:p>
    <w:p>
      <w:pPr>
        <w:pStyle w:val="81"/>
        <w:rPr>
          <w:color w:val="auto"/>
          <w:highlight w:val="none"/>
          <w:u w:val="none"/>
        </w:rPr>
      </w:pPr>
      <w:r>
        <w:rPr>
          <w:color w:val="auto"/>
          <w:szCs w:val="21"/>
          <w:highlight w:val="none"/>
          <w:u w:val="none"/>
        </w:rPr>
        <w:t>（一）</w:t>
      </w:r>
      <w:r>
        <w:rPr>
          <w:color w:val="auto"/>
          <w:highlight w:val="none"/>
          <w:u w:val="none"/>
        </w:rPr>
        <w:t>法律适用</w:t>
      </w:r>
    </w:p>
    <w:p>
      <w:pPr>
        <w:pStyle w:val="81"/>
        <w:rPr>
          <w:color w:val="auto"/>
          <w:highlight w:val="none"/>
          <w:u w:val="none"/>
        </w:rPr>
      </w:pPr>
      <w:r>
        <w:rPr>
          <w:color w:val="auto"/>
          <w:highlight w:val="none"/>
          <w:u w:val="none"/>
        </w:rPr>
        <w:t>本合同的订立</w:t>
      </w:r>
      <w:r>
        <w:rPr>
          <w:rFonts w:hint="eastAsia"/>
          <w:color w:val="auto"/>
          <w:highlight w:val="none"/>
          <w:u w:val="none"/>
        </w:rPr>
        <w:t>、</w:t>
      </w:r>
      <w:r>
        <w:rPr>
          <w:color w:val="auto"/>
          <w:highlight w:val="none"/>
          <w:u w:val="none"/>
        </w:rPr>
        <w:t>生效</w:t>
      </w:r>
      <w:r>
        <w:rPr>
          <w:rFonts w:hint="eastAsia"/>
          <w:color w:val="auto"/>
          <w:highlight w:val="none"/>
          <w:u w:val="none"/>
        </w:rPr>
        <w:t>、</w:t>
      </w:r>
      <w:r>
        <w:rPr>
          <w:color w:val="auto"/>
          <w:highlight w:val="none"/>
          <w:u w:val="none"/>
        </w:rPr>
        <w:t>履行</w:t>
      </w:r>
      <w:r>
        <w:rPr>
          <w:rFonts w:hint="eastAsia"/>
          <w:color w:val="auto"/>
          <w:highlight w:val="none"/>
          <w:u w:val="none"/>
        </w:rPr>
        <w:t>、修改、</w:t>
      </w:r>
      <w:r>
        <w:rPr>
          <w:color w:val="auto"/>
          <w:highlight w:val="none"/>
          <w:u w:val="none"/>
        </w:rPr>
        <w:t>终止及对本</w:t>
      </w:r>
      <w:r>
        <w:rPr>
          <w:rFonts w:hint="eastAsia"/>
          <w:color w:val="auto"/>
          <w:highlight w:val="none"/>
          <w:u w:val="none"/>
        </w:rPr>
        <w:t>合同</w:t>
      </w:r>
      <w:r>
        <w:rPr>
          <w:color w:val="auto"/>
          <w:highlight w:val="none"/>
          <w:u w:val="none"/>
        </w:rPr>
        <w:t>项下条款的解释，均适用中国法律。</w:t>
      </w:r>
    </w:p>
    <w:p>
      <w:pPr>
        <w:pStyle w:val="81"/>
        <w:rPr>
          <w:color w:val="auto"/>
          <w:highlight w:val="none"/>
          <w:u w:val="none"/>
        </w:rPr>
      </w:pPr>
      <w:r>
        <w:rPr>
          <w:color w:val="auto"/>
          <w:szCs w:val="21"/>
          <w:highlight w:val="none"/>
          <w:u w:val="none"/>
        </w:rPr>
        <w:t>（二）</w:t>
      </w:r>
      <w:r>
        <w:rPr>
          <w:rFonts w:hint="eastAsia"/>
          <w:color w:val="auto"/>
          <w:highlight w:val="none"/>
          <w:u w:val="none"/>
        </w:rPr>
        <w:t>争议处理</w:t>
      </w:r>
    </w:p>
    <w:p>
      <w:pPr>
        <w:pStyle w:val="81"/>
        <w:ind w:firstLine="422"/>
        <w:rPr>
          <w:b/>
          <w:color w:val="auto"/>
          <w:highlight w:val="none"/>
          <w:u w:val="none"/>
        </w:rPr>
      </w:pPr>
      <w:r>
        <w:rPr>
          <w:b/>
          <w:color w:val="auto"/>
          <w:highlight w:val="none"/>
          <w:u w:val="none"/>
        </w:rPr>
        <w:t>各方当事人同意，因本合同而产生的或与本合同有关的一切争议，合同当事人应尽量通过协商、调解途径解决。经友好协商未能解决的，应提交华南国际经济贸易仲裁委员会，根据该会当时有效的仲裁规则在深圳进行仲裁。仲裁裁决是终局性的，并对各方当事人具有约束力，除裁决另有约定外</w:t>
      </w:r>
      <w:r>
        <w:rPr>
          <w:rFonts w:hint="eastAsia"/>
          <w:b/>
          <w:color w:val="auto"/>
          <w:highlight w:val="none"/>
          <w:u w:val="none"/>
        </w:rPr>
        <w:t>，</w:t>
      </w:r>
      <w:r>
        <w:rPr>
          <w:b/>
          <w:color w:val="auto"/>
          <w:highlight w:val="none"/>
          <w:u w:val="none"/>
        </w:rPr>
        <w:t>仲裁费由败诉方承担。</w:t>
      </w:r>
    </w:p>
    <w:p>
      <w:pPr>
        <w:pStyle w:val="81"/>
        <w:rPr>
          <w:color w:val="auto"/>
          <w:highlight w:val="none"/>
          <w:u w:val="none"/>
        </w:rPr>
      </w:pPr>
      <w:r>
        <w:rPr>
          <w:color w:val="auto"/>
          <w:highlight w:val="none"/>
          <w:u w:val="none"/>
        </w:rPr>
        <w:t>争议处理期间，合同当事人仍应履行本合同规定的义务，继续忠实、勤勉、尽责地履行基金合同</w:t>
      </w:r>
      <w:r>
        <w:rPr>
          <w:rFonts w:hint="eastAsia"/>
          <w:color w:val="auto"/>
          <w:highlight w:val="none"/>
          <w:u w:val="none"/>
        </w:rPr>
        <w:t>约定</w:t>
      </w:r>
      <w:r>
        <w:rPr>
          <w:color w:val="auto"/>
          <w:highlight w:val="none"/>
          <w:u w:val="none"/>
        </w:rPr>
        <w:t>的义务，维护</w:t>
      </w:r>
      <w:r>
        <w:rPr>
          <w:rFonts w:hint="eastAsia"/>
          <w:color w:val="auto"/>
          <w:highlight w:val="none"/>
          <w:u w:val="none"/>
        </w:rPr>
        <w:t>基金</w:t>
      </w:r>
      <w:r>
        <w:rPr>
          <w:color w:val="auto"/>
          <w:highlight w:val="none"/>
          <w:u w:val="none"/>
        </w:rPr>
        <w:t>份额持有人的合法权益</w:t>
      </w:r>
      <w:r>
        <w:rPr>
          <w:rFonts w:hint="eastAsia"/>
          <w:color w:val="auto"/>
          <w:highlight w:val="none"/>
          <w:u w:val="none"/>
        </w:rPr>
        <w:t>。</w:t>
      </w:r>
    </w:p>
    <w:p>
      <w:pPr>
        <w:pStyle w:val="4"/>
        <w:snapToGrid/>
        <w:spacing w:beforeLines="100" w:afterLines="50"/>
        <w:rPr>
          <w:rFonts w:ascii="楷体" w:hAnsi="楷体" w:eastAsia="楷体"/>
          <w:color w:val="auto"/>
          <w:sz w:val="24"/>
          <w:highlight w:val="none"/>
          <w:u w:val="none"/>
        </w:rPr>
      </w:pPr>
      <w:bookmarkStart w:id="81" w:name="_Toc482974550"/>
      <w:r>
        <w:rPr>
          <w:rFonts w:ascii="楷体" w:hAnsi="楷体" w:eastAsia="楷体"/>
          <w:color w:val="auto"/>
          <w:sz w:val="24"/>
          <w:highlight w:val="none"/>
          <w:u w:val="none"/>
        </w:rPr>
        <w:t>第二十</w:t>
      </w:r>
      <w:r>
        <w:rPr>
          <w:rFonts w:hint="eastAsia" w:ascii="楷体" w:hAnsi="楷体" w:eastAsia="楷体"/>
          <w:color w:val="auto"/>
          <w:sz w:val="24"/>
          <w:highlight w:val="none"/>
          <w:u w:val="none"/>
        </w:rPr>
        <w:t>六</w:t>
      </w:r>
      <w:r>
        <w:rPr>
          <w:rFonts w:ascii="楷体" w:hAnsi="楷体" w:eastAsia="楷体"/>
          <w:color w:val="auto"/>
          <w:sz w:val="24"/>
          <w:highlight w:val="none"/>
          <w:u w:val="none"/>
        </w:rPr>
        <w:t>节其他事项</w:t>
      </w:r>
      <w:bookmarkEnd w:id="81"/>
    </w:p>
    <w:p>
      <w:pPr>
        <w:pStyle w:val="81"/>
        <w:rPr>
          <w:color w:val="auto"/>
          <w:highlight w:val="none"/>
          <w:u w:val="none"/>
        </w:rPr>
      </w:pPr>
      <w:r>
        <w:rPr>
          <w:color w:val="auto"/>
          <w:szCs w:val="21"/>
          <w:highlight w:val="none"/>
          <w:u w:val="none"/>
        </w:rPr>
        <w:t>（一）</w:t>
      </w:r>
      <w:r>
        <w:rPr>
          <w:rFonts w:hint="eastAsia"/>
          <w:color w:val="auto"/>
          <w:highlight w:val="none"/>
          <w:u w:val="none"/>
        </w:rPr>
        <w:t>基金</w:t>
      </w:r>
      <w:r>
        <w:rPr>
          <w:color w:val="auto"/>
          <w:highlight w:val="none"/>
          <w:u w:val="none"/>
        </w:rPr>
        <w:t>合同的解除或终止，不影响</w:t>
      </w:r>
      <w:r>
        <w:rPr>
          <w:rFonts w:hint="eastAsia"/>
          <w:color w:val="auto"/>
          <w:highlight w:val="none"/>
          <w:u w:val="none"/>
        </w:rPr>
        <w:t>“</w:t>
      </w:r>
      <w:r>
        <w:rPr>
          <w:color w:val="auto"/>
          <w:highlight w:val="none"/>
          <w:u w:val="none"/>
        </w:rPr>
        <w:t>基金财产的清算</w:t>
      </w:r>
      <w:r>
        <w:rPr>
          <w:rFonts w:hint="eastAsia"/>
          <w:color w:val="auto"/>
          <w:highlight w:val="none"/>
          <w:u w:val="none"/>
        </w:rPr>
        <w:t>”</w:t>
      </w:r>
      <w:r>
        <w:rPr>
          <w:color w:val="auto"/>
          <w:highlight w:val="none"/>
          <w:u w:val="none"/>
        </w:rPr>
        <w:t>条款</w:t>
      </w:r>
      <w:r>
        <w:rPr>
          <w:rFonts w:hint="eastAsia"/>
          <w:color w:val="auto"/>
          <w:highlight w:val="none"/>
          <w:u w:val="none"/>
        </w:rPr>
        <w:t>、“</w:t>
      </w:r>
      <w:r>
        <w:rPr>
          <w:color w:val="auto"/>
          <w:highlight w:val="none"/>
          <w:u w:val="none"/>
        </w:rPr>
        <w:t>违约责任</w:t>
      </w:r>
      <w:r>
        <w:rPr>
          <w:rFonts w:hint="eastAsia"/>
          <w:color w:val="auto"/>
          <w:highlight w:val="none"/>
          <w:u w:val="none"/>
        </w:rPr>
        <w:t>”</w:t>
      </w:r>
      <w:r>
        <w:rPr>
          <w:color w:val="auto"/>
          <w:highlight w:val="none"/>
          <w:u w:val="none"/>
        </w:rPr>
        <w:t>条款</w:t>
      </w:r>
      <w:r>
        <w:rPr>
          <w:rFonts w:hint="eastAsia"/>
          <w:color w:val="auto"/>
          <w:highlight w:val="none"/>
          <w:u w:val="none"/>
        </w:rPr>
        <w:t>、“</w:t>
      </w:r>
      <w:r>
        <w:rPr>
          <w:color w:val="auto"/>
          <w:highlight w:val="none"/>
          <w:u w:val="none"/>
        </w:rPr>
        <w:t>争议的处理</w:t>
      </w:r>
      <w:r>
        <w:rPr>
          <w:rFonts w:hint="eastAsia"/>
          <w:color w:val="auto"/>
          <w:highlight w:val="none"/>
          <w:u w:val="none"/>
        </w:rPr>
        <w:t>”</w:t>
      </w:r>
      <w:r>
        <w:rPr>
          <w:color w:val="auto"/>
          <w:highlight w:val="none"/>
          <w:u w:val="none"/>
        </w:rPr>
        <w:t>条款的效力。</w:t>
      </w:r>
    </w:p>
    <w:p>
      <w:pPr>
        <w:pStyle w:val="81"/>
        <w:rPr>
          <w:color w:val="auto"/>
          <w:highlight w:val="none"/>
          <w:u w:val="none"/>
        </w:rPr>
      </w:pPr>
      <w:r>
        <w:rPr>
          <w:color w:val="auto"/>
          <w:szCs w:val="21"/>
          <w:highlight w:val="none"/>
          <w:u w:val="none"/>
        </w:rPr>
        <w:t>（二）</w:t>
      </w:r>
      <w:r>
        <w:rPr>
          <w:color w:val="auto"/>
          <w:highlight w:val="none"/>
          <w:u w:val="none"/>
        </w:rPr>
        <w:t>本合同</w:t>
      </w:r>
      <w:r>
        <w:rPr>
          <w:rFonts w:hint="eastAsia"/>
          <w:color w:val="auto"/>
          <w:highlight w:val="none"/>
          <w:u w:val="none"/>
        </w:rPr>
        <w:t>约定</w:t>
      </w:r>
      <w:r>
        <w:rPr>
          <w:color w:val="auto"/>
          <w:highlight w:val="none"/>
          <w:u w:val="none"/>
        </w:rPr>
        <w:t>的管理人/托管人接收款项或支付款项的日期若不是工作日，顺延至其后的第一个工作日。</w:t>
      </w:r>
    </w:p>
    <w:p>
      <w:pPr>
        <w:pStyle w:val="81"/>
        <w:rPr>
          <w:color w:val="auto"/>
          <w:highlight w:val="none"/>
          <w:u w:val="none"/>
        </w:rPr>
      </w:pPr>
      <w:r>
        <w:rPr>
          <w:color w:val="auto"/>
          <w:szCs w:val="21"/>
          <w:highlight w:val="none"/>
          <w:u w:val="none"/>
        </w:rPr>
        <w:t>（三）</w:t>
      </w:r>
      <w:r>
        <w:rPr>
          <w:color w:val="auto"/>
          <w:highlight w:val="none"/>
          <w:u w:val="none"/>
        </w:rPr>
        <w:t>基金合同中约定的通讯地址或联络方式即为管理人处理基金事务过程中与投资者联系的通讯地址或联络方式；投资者通讯地址或联络方式发生变化，应</w:t>
      </w:r>
      <w:r>
        <w:rPr>
          <w:rFonts w:hint="eastAsia"/>
          <w:color w:val="auto"/>
          <w:highlight w:val="none"/>
          <w:u w:val="none"/>
        </w:rPr>
        <w:t>及时</w:t>
      </w:r>
      <w:r>
        <w:rPr>
          <w:color w:val="auto"/>
          <w:highlight w:val="none"/>
          <w:u w:val="none"/>
        </w:rPr>
        <w:t>以书面文件形式通知管理人；若投资者未</w:t>
      </w:r>
      <w:r>
        <w:rPr>
          <w:rFonts w:hint="eastAsia"/>
          <w:color w:val="auto"/>
          <w:highlight w:val="none"/>
          <w:u w:val="none"/>
        </w:rPr>
        <w:t>及时</w:t>
      </w:r>
      <w:r>
        <w:rPr>
          <w:color w:val="auto"/>
          <w:highlight w:val="none"/>
          <w:u w:val="none"/>
        </w:rPr>
        <w:t>将有关变化及时通知管理人，投资者应对由此而造成的影响和损失负责。</w:t>
      </w:r>
    </w:p>
    <w:p>
      <w:pPr>
        <w:pStyle w:val="81"/>
        <w:rPr>
          <w:color w:val="auto"/>
          <w:szCs w:val="21"/>
          <w:highlight w:val="none"/>
          <w:u w:val="none"/>
        </w:rPr>
      </w:pPr>
      <w:r>
        <w:rPr>
          <w:color w:val="auto"/>
          <w:szCs w:val="21"/>
          <w:highlight w:val="none"/>
          <w:u w:val="none"/>
        </w:rPr>
        <w:t>（四）</w:t>
      </w:r>
      <w:r>
        <w:rPr>
          <w:color w:val="auto"/>
          <w:highlight w:val="none"/>
          <w:u w:val="none"/>
        </w:rPr>
        <w:t>投资者认购的划出账户与接受本基金分配的划入账户，必须为以投资者名义开立的同一个账户。若因特殊原因导致投资者接受本基金分配的划入账户信息发生变化，投资者应及时到管理人处办理变更手续</w:t>
      </w:r>
      <w:r>
        <w:rPr>
          <w:rFonts w:hint="eastAsia"/>
          <w:color w:val="auto"/>
          <w:highlight w:val="none"/>
          <w:u w:val="none"/>
        </w:rPr>
        <w:t>，</w:t>
      </w:r>
      <w:r>
        <w:rPr>
          <w:color w:val="auto"/>
          <w:highlight w:val="none"/>
          <w:u w:val="none"/>
        </w:rPr>
        <w:t>并出具符合法律法规规定的书面说明，否则投资者应对由此而造成的影响和损失负责</w:t>
      </w:r>
      <w:r>
        <w:rPr>
          <w:color w:val="auto"/>
          <w:szCs w:val="21"/>
          <w:highlight w:val="none"/>
          <w:u w:val="none"/>
        </w:rPr>
        <w:t>。</w:t>
      </w:r>
    </w:p>
    <w:p>
      <w:pPr>
        <w:pStyle w:val="81"/>
        <w:rPr>
          <w:color w:val="auto"/>
          <w:highlight w:val="none"/>
          <w:u w:val="none"/>
        </w:rPr>
      </w:pPr>
      <w:r>
        <w:rPr>
          <w:color w:val="auto"/>
          <w:szCs w:val="21"/>
          <w:highlight w:val="none"/>
          <w:u w:val="none"/>
        </w:rPr>
        <w:t>（五）</w:t>
      </w:r>
      <w:r>
        <w:rPr>
          <w:color w:val="auto"/>
          <w:highlight w:val="none"/>
          <w:u w:val="none"/>
        </w:rPr>
        <w:t>本合同如有未尽事宜，由合同</w:t>
      </w:r>
      <w:r>
        <w:rPr>
          <w:rFonts w:hint="eastAsia"/>
          <w:color w:val="auto"/>
          <w:highlight w:val="none"/>
          <w:u w:val="none"/>
        </w:rPr>
        <w:t>各方</w:t>
      </w:r>
      <w:r>
        <w:rPr>
          <w:color w:val="auto"/>
          <w:highlight w:val="none"/>
          <w:u w:val="none"/>
        </w:rPr>
        <w:t>当事人按有关法律法规</w:t>
      </w:r>
      <w:r>
        <w:rPr>
          <w:rFonts w:hint="eastAsia"/>
          <w:color w:val="auto"/>
          <w:highlight w:val="none"/>
          <w:u w:val="none"/>
        </w:rPr>
        <w:t>、</w:t>
      </w:r>
      <w:r>
        <w:rPr>
          <w:color w:val="auto"/>
          <w:highlight w:val="none"/>
          <w:u w:val="none"/>
        </w:rPr>
        <w:t>中国证监会</w:t>
      </w:r>
      <w:r>
        <w:rPr>
          <w:rFonts w:hint="eastAsia"/>
          <w:color w:val="auto"/>
          <w:highlight w:val="none"/>
          <w:u w:val="none"/>
        </w:rPr>
        <w:t>、</w:t>
      </w:r>
      <w:r>
        <w:rPr>
          <w:color w:val="auto"/>
          <w:highlight w:val="none"/>
          <w:u w:val="none"/>
        </w:rPr>
        <w:t>基金业协会的规定协商解决。</w:t>
      </w:r>
      <w:r>
        <w:rPr>
          <w:rFonts w:hint="eastAsia"/>
          <w:color w:val="auto"/>
          <w:highlight w:val="none"/>
          <w:u w:val="none"/>
        </w:rPr>
        <w:t>各方当事人</w:t>
      </w:r>
      <w:r>
        <w:rPr>
          <w:color w:val="auto"/>
          <w:highlight w:val="none"/>
          <w:u w:val="none"/>
        </w:rPr>
        <w:t>对本合同的任何有效修改、补充均是本合同的有效组成部分，与本合同具有同等的法律效力。</w:t>
      </w:r>
    </w:p>
    <w:p>
      <w:pPr>
        <w:pStyle w:val="81"/>
        <w:rPr>
          <w:color w:val="auto"/>
          <w:highlight w:val="none"/>
          <w:u w:val="none"/>
        </w:rPr>
      </w:pPr>
      <w:r>
        <w:rPr>
          <w:color w:val="auto"/>
          <w:szCs w:val="21"/>
          <w:highlight w:val="none"/>
          <w:u w:val="none"/>
        </w:rPr>
        <w:t>（六）</w:t>
      </w:r>
      <w:r>
        <w:rPr>
          <w:rFonts w:hint="eastAsia"/>
          <w:color w:val="auto"/>
          <w:highlight w:val="none"/>
          <w:u w:val="none"/>
        </w:rPr>
        <w:t>风险揭示书为本合同的组成部分，和本合同具有同等法律效力。</w:t>
      </w:r>
    </w:p>
    <w:p>
      <w:pPr>
        <w:pStyle w:val="81"/>
        <w:ind w:firstLine="422"/>
        <w:rPr>
          <w:b/>
          <w:color w:val="auto"/>
          <w:highlight w:val="none"/>
          <w:u w:val="none"/>
        </w:rPr>
      </w:pPr>
      <w:r>
        <w:rPr>
          <w:b/>
          <w:color w:val="auto"/>
          <w:szCs w:val="21"/>
          <w:highlight w:val="none"/>
          <w:u w:val="none"/>
        </w:rPr>
        <w:t>（七）</w:t>
      </w:r>
      <w:r>
        <w:rPr>
          <w:b/>
          <w:color w:val="auto"/>
          <w:highlight w:val="none"/>
          <w:u w:val="none"/>
        </w:rPr>
        <w:t>各当事人申明：在签署本合同时，各当事人已仔细阅读本合同，对本合同所有条款均无异议，并对当事人之间的</w:t>
      </w:r>
      <w:r>
        <w:rPr>
          <w:rFonts w:hint="eastAsia"/>
          <w:b/>
          <w:color w:val="auto"/>
          <w:highlight w:val="none"/>
          <w:u w:val="none"/>
        </w:rPr>
        <w:t>法律</w:t>
      </w:r>
      <w:r>
        <w:rPr>
          <w:b/>
          <w:color w:val="auto"/>
          <w:highlight w:val="none"/>
          <w:u w:val="none"/>
        </w:rPr>
        <w:t>关系及有关权利、义务和责任条款的法律含义有准确无误的理解。</w:t>
      </w:r>
    </w:p>
    <w:p>
      <w:pPr>
        <w:pStyle w:val="81"/>
        <w:rPr>
          <w:color w:val="auto"/>
          <w:highlight w:val="none"/>
          <w:u w:val="none"/>
        </w:rPr>
      </w:pPr>
      <w:r>
        <w:rPr>
          <w:color w:val="auto"/>
          <w:szCs w:val="21"/>
          <w:highlight w:val="none"/>
          <w:u w:val="none"/>
        </w:rPr>
        <w:t>（八）</w:t>
      </w:r>
      <w:r>
        <w:rPr>
          <w:color w:val="auto"/>
          <w:highlight w:val="none"/>
          <w:u w:val="none"/>
        </w:rPr>
        <w:t>本合同壹式叁份，</w:t>
      </w:r>
      <w:r>
        <w:rPr>
          <w:rFonts w:hint="eastAsia"/>
          <w:color w:val="auto"/>
          <w:highlight w:val="none"/>
          <w:u w:val="none"/>
        </w:rPr>
        <w:t>各方</w:t>
      </w:r>
      <w:r>
        <w:rPr>
          <w:color w:val="auto"/>
          <w:highlight w:val="none"/>
          <w:u w:val="none"/>
        </w:rPr>
        <w:t>各执壹份，每份正本具有同等法律效力。</w:t>
      </w:r>
    </w:p>
    <w:p>
      <w:pPr>
        <w:spacing w:line="360" w:lineRule="auto"/>
        <w:jc w:val="center"/>
        <w:rPr>
          <w:rFonts w:ascii="楷体" w:hAnsi="楷体" w:eastAsia="楷体"/>
          <w:b/>
          <w:color w:val="auto"/>
          <w:highlight w:val="none"/>
          <w:u w:val="none"/>
        </w:rPr>
      </w:pPr>
      <w:r>
        <w:rPr>
          <w:rFonts w:ascii="楷体" w:hAnsi="楷体" w:eastAsia="楷体"/>
          <w:b/>
          <w:color w:val="auto"/>
          <w:highlight w:val="none"/>
          <w:u w:val="none"/>
        </w:rPr>
        <w:t>（以下无正文</w:t>
      </w:r>
      <w:r>
        <w:rPr>
          <w:rFonts w:hint="eastAsia" w:ascii="楷体" w:hAnsi="楷体" w:eastAsia="楷体"/>
          <w:b/>
          <w:color w:val="auto"/>
          <w:highlight w:val="none"/>
          <w:u w:val="none"/>
        </w:rPr>
        <w:t>，</w:t>
      </w:r>
      <w:r>
        <w:rPr>
          <w:rFonts w:ascii="楷体" w:hAnsi="楷体" w:eastAsia="楷体"/>
          <w:b/>
          <w:color w:val="auto"/>
          <w:highlight w:val="none"/>
          <w:u w:val="none"/>
        </w:rPr>
        <w:t>为本合同签署部分）</w:t>
      </w:r>
    </w:p>
    <w:p>
      <w:pPr>
        <w:spacing w:line="360" w:lineRule="auto"/>
        <w:jc w:val="left"/>
        <w:rPr>
          <w:rFonts w:ascii="楷体" w:hAnsi="楷体" w:eastAsia="楷体"/>
          <w:color w:val="auto"/>
          <w:highlight w:val="none"/>
          <w:u w:val="none"/>
        </w:rPr>
      </w:pPr>
      <w:r>
        <w:rPr>
          <w:rFonts w:ascii="楷体" w:hAnsi="楷体" w:eastAsia="楷体"/>
          <w:color w:val="auto"/>
          <w:highlight w:val="none"/>
          <w:u w:val="none"/>
        </w:rPr>
        <w:br w:type="page"/>
      </w:r>
    </w:p>
    <w:p>
      <w:pPr>
        <w:spacing w:line="360" w:lineRule="auto"/>
        <w:rPr>
          <w:rFonts w:ascii="楷体" w:hAnsi="楷体" w:eastAsia="楷体"/>
          <w:b/>
          <w:color w:val="auto"/>
          <w:szCs w:val="21"/>
          <w:highlight w:val="none"/>
          <w:u w:val="none"/>
        </w:rPr>
      </w:pPr>
      <w:r>
        <w:rPr>
          <w:rFonts w:ascii="楷体" w:hAnsi="楷体" w:eastAsia="楷体"/>
          <w:color w:val="auto"/>
          <w:szCs w:val="21"/>
          <w:highlight w:val="none"/>
          <w:u w:val="none"/>
        </w:rPr>
        <w:t>（</w:t>
      </w:r>
      <w:r>
        <w:rPr>
          <w:rFonts w:ascii="楷体" w:hAnsi="楷体" w:eastAsia="楷体"/>
          <w:b/>
          <w:color w:val="auto"/>
          <w:szCs w:val="21"/>
          <w:highlight w:val="none"/>
          <w:u w:val="none"/>
        </w:rPr>
        <w:t>投资者应务必确保填写的资料正确有效，如因填写错误导致的任何损失，管理人和托管人不承担任何责任</w:t>
      </w:r>
      <w:r>
        <w:rPr>
          <w:rFonts w:ascii="楷体" w:hAnsi="楷体" w:eastAsia="楷体"/>
          <w:color w:val="auto"/>
          <w:szCs w:val="21"/>
          <w:highlight w:val="none"/>
          <w:u w:val="none"/>
        </w:rPr>
        <w:t>）</w:t>
      </w:r>
    </w:p>
    <w:p>
      <w:pPr>
        <w:spacing w:line="360" w:lineRule="auto"/>
        <w:rPr>
          <w:rFonts w:ascii="楷体" w:hAnsi="楷体" w:eastAsia="楷体"/>
          <w:color w:val="auto"/>
          <w:szCs w:val="21"/>
          <w:highlight w:val="none"/>
          <w:u w:val="none"/>
        </w:rPr>
      </w:pPr>
      <w:r>
        <w:rPr>
          <w:rFonts w:ascii="楷体" w:hAnsi="楷体" w:eastAsia="楷体"/>
          <w:color w:val="auto"/>
          <w:szCs w:val="21"/>
          <w:highlight w:val="none"/>
          <w:u w:val="none"/>
        </w:rPr>
        <w:t>投资者请填写：</w:t>
      </w:r>
    </w:p>
    <w:p>
      <w:pPr>
        <w:spacing w:line="360" w:lineRule="auto"/>
        <w:rPr>
          <w:rFonts w:ascii="楷体" w:hAnsi="楷体" w:eastAsia="楷体"/>
          <w:color w:val="auto"/>
          <w:szCs w:val="21"/>
          <w:highlight w:val="none"/>
          <w:u w:val="none"/>
        </w:rPr>
      </w:pPr>
      <w:r>
        <w:rPr>
          <w:rFonts w:ascii="楷体" w:hAnsi="楷体" w:eastAsia="楷体"/>
          <w:color w:val="auto"/>
          <w:szCs w:val="21"/>
          <w:highlight w:val="none"/>
          <w:u w:val="none"/>
        </w:rPr>
        <w:t>（一）投资者信息</w:t>
      </w:r>
    </w:p>
    <w:p>
      <w:pPr>
        <w:numPr>
          <w:ilvl w:val="0"/>
          <w:numId w:val="0"/>
        </w:numPr>
        <w:spacing w:line="360" w:lineRule="auto"/>
        <w:ind w:left="0" w:firstLine="0"/>
        <w:rPr>
          <w:rFonts w:ascii="楷体" w:hAnsi="楷体" w:eastAsia="楷体"/>
          <w:color w:val="auto"/>
          <w:szCs w:val="21"/>
          <w:highlight w:val="none"/>
          <w:u w:val="none"/>
        </w:rPr>
      </w:pPr>
      <w:r>
        <w:rPr>
          <w:rFonts w:ascii="楷体" w:hAnsi="楷体" w:eastAsia="楷体"/>
          <w:color w:val="auto"/>
          <w:szCs w:val="21"/>
          <w:highlight w:val="none"/>
          <w:u w:val="none"/>
        </w:rPr>
        <w:t>1.自然人</w:t>
      </w:r>
    </w:p>
    <w:p>
      <w:pPr>
        <w:spacing w:line="360" w:lineRule="auto"/>
        <w:rPr>
          <w:rFonts w:ascii="楷体" w:hAnsi="楷体" w:eastAsia="楷体"/>
          <w:color w:val="auto"/>
          <w:szCs w:val="21"/>
          <w:highlight w:val="none"/>
          <w:u w:val="none"/>
        </w:rPr>
      </w:pPr>
      <w:r>
        <w:rPr>
          <w:rFonts w:ascii="楷体" w:hAnsi="楷体" w:eastAsia="楷体"/>
          <w:color w:val="auto"/>
          <w:szCs w:val="21"/>
          <w:highlight w:val="none"/>
          <w:u w:val="none"/>
        </w:rPr>
        <w:t>姓名：</w:t>
      </w:r>
    </w:p>
    <w:p>
      <w:pPr>
        <w:spacing w:line="360" w:lineRule="auto"/>
        <w:rPr>
          <w:rFonts w:ascii="楷体" w:hAnsi="楷体" w:eastAsia="楷体"/>
          <w:color w:val="auto"/>
          <w:szCs w:val="21"/>
          <w:highlight w:val="none"/>
          <w:u w:val="none"/>
        </w:rPr>
      </w:pPr>
      <w:r>
        <w:rPr>
          <w:rFonts w:ascii="楷体" w:hAnsi="楷体" w:eastAsia="楷体"/>
          <w:color w:val="auto"/>
          <w:szCs w:val="21"/>
          <w:highlight w:val="none"/>
          <w:u w:val="none"/>
        </w:rPr>
        <w:t>证件名称：身份证□军官证□护照□</w:t>
      </w:r>
    </w:p>
    <w:p>
      <w:pPr>
        <w:spacing w:line="360" w:lineRule="auto"/>
        <w:rPr>
          <w:rFonts w:ascii="楷体" w:hAnsi="楷体" w:eastAsia="楷体"/>
          <w:color w:val="auto"/>
          <w:szCs w:val="21"/>
          <w:highlight w:val="none"/>
          <w:u w:val="none"/>
        </w:rPr>
      </w:pPr>
      <w:r>
        <w:rPr>
          <w:rFonts w:ascii="楷体" w:hAnsi="楷体" w:eastAsia="楷体"/>
          <w:color w:val="auto"/>
          <w:szCs w:val="21"/>
          <w:highlight w:val="none"/>
          <w:u w:val="none"/>
        </w:rPr>
        <w:t>证件号码：</w:t>
      </w:r>
    </w:p>
    <w:p>
      <w:pPr>
        <w:spacing w:line="360" w:lineRule="auto"/>
        <w:rPr>
          <w:rFonts w:ascii="楷体" w:hAnsi="楷体" w:eastAsia="楷体"/>
          <w:color w:val="auto"/>
          <w:szCs w:val="21"/>
          <w:highlight w:val="none"/>
          <w:u w:val="none"/>
        </w:rPr>
      </w:pPr>
      <w:r>
        <w:rPr>
          <w:rFonts w:ascii="楷体" w:hAnsi="楷体" w:eastAsia="楷体"/>
          <w:color w:val="auto"/>
          <w:szCs w:val="21"/>
          <w:highlight w:val="none"/>
          <w:u w:val="none"/>
        </w:rPr>
        <w:t>通讯地址：</w:t>
      </w:r>
    </w:p>
    <w:p>
      <w:pPr>
        <w:spacing w:line="360" w:lineRule="auto"/>
        <w:rPr>
          <w:rFonts w:ascii="楷体" w:hAnsi="楷体" w:eastAsia="楷体"/>
          <w:color w:val="auto"/>
          <w:szCs w:val="21"/>
          <w:highlight w:val="none"/>
          <w:u w:val="none"/>
        </w:rPr>
      </w:pPr>
      <w:r>
        <w:rPr>
          <w:rFonts w:ascii="楷体" w:hAnsi="楷体" w:eastAsia="楷体"/>
          <w:color w:val="auto"/>
          <w:szCs w:val="21"/>
          <w:highlight w:val="none"/>
          <w:u w:val="none"/>
        </w:rPr>
        <w:t>邮编：</w:t>
      </w:r>
    </w:p>
    <w:p>
      <w:pPr>
        <w:spacing w:line="360" w:lineRule="auto"/>
        <w:rPr>
          <w:rFonts w:ascii="楷体" w:hAnsi="楷体" w:eastAsia="楷体"/>
          <w:color w:val="auto"/>
          <w:szCs w:val="21"/>
          <w:highlight w:val="none"/>
          <w:u w:val="none"/>
        </w:rPr>
      </w:pPr>
      <w:r>
        <w:rPr>
          <w:rFonts w:ascii="楷体" w:hAnsi="楷体" w:eastAsia="楷体"/>
          <w:color w:val="auto"/>
          <w:szCs w:val="21"/>
          <w:highlight w:val="none"/>
          <w:u w:val="none"/>
        </w:rPr>
        <w:t>联系电话：</w:t>
      </w:r>
    </w:p>
    <w:p>
      <w:pPr>
        <w:spacing w:line="360" w:lineRule="auto"/>
        <w:rPr>
          <w:rFonts w:ascii="楷体" w:hAnsi="楷体" w:eastAsia="楷体"/>
          <w:color w:val="auto"/>
          <w:szCs w:val="21"/>
          <w:highlight w:val="none"/>
          <w:u w:val="none"/>
        </w:rPr>
      </w:pPr>
      <w:r>
        <w:rPr>
          <w:rFonts w:ascii="楷体" w:hAnsi="楷体" w:eastAsia="楷体"/>
          <w:color w:val="auto"/>
          <w:szCs w:val="21"/>
          <w:highlight w:val="none"/>
          <w:u w:val="none"/>
        </w:rPr>
        <w:t>电子邮箱：</w:t>
      </w:r>
    </w:p>
    <w:p>
      <w:pPr>
        <w:spacing w:line="360" w:lineRule="auto"/>
        <w:rPr>
          <w:rFonts w:ascii="楷体" w:hAnsi="楷体" w:eastAsia="楷体"/>
          <w:color w:val="auto"/>
          <w:szCs w:val="21"/>
          <w:highlight w:val="none"/>
          <w:u w:val="none"/>
        </w:rPr>
      </w:pPr>
      <w:r>
        <w:rPr>
          <w:rFonts w:ascii="楷体" w:hAnsi="楷体" w:eastAsia="楷体"/>
          <w:color w:val="auto"/>
          <w:szCs w:val="21"/>
          <w:highlight w:val="none"/>
          <w:u w:val="none"/>
        </w:rPr>
        <w:t>投资者授权之代理人：</w:t>
      </w:r>
    </w:p>
    <w:p>
      <w:pPr>
        <w:spacing w:line="360" w:lineRule="auto"/>
        <w:rPr>
          <w:rFonts w:ascii="楷体" w:hAnsi="楷体" w:eastAsia="楷体"/>
          <w:color w:val="auto"/>
          <w:szCs w:val="21"/>
          <w:highlight w:val="none"/>
          <w:u w:val="none"/>
        </w:rPr>
      </w:pPr>
      <w:r>
        <w:rPr>
          <w:rFonts w:ascii="楷体" w:hAnsi="楷体" w:eastAsia="楷体"/>
          <w:color w:val="auto"/>
          <w:szCs w:val="21"/>
          <w:highlight w:val="none"/>
          <w:u w:val="none"/>
        </w:rPr>
        <w:t>证件名称：身份证□军官证□护照□</w:t>
      </w:r>
    </w:p>
    <w:p>
      <w:pPr>
        <w:spacing w:line="360" w:lineRule="auto"/>
        <w:rPr>
          <w:rFonts w:ascii="楷体" w:hAnsi="楷体" w:eastAsia="楷体"/>
          <w:color w:val="auto"/>
          <w:szCs w:val="21"/>
          <w:highlight w:val="none"/>
          <w:u w:val="none"/>
        </w:rPr>
      </w:pPr>
      <w:r>
        <w:rPr>
          <w:rFonts w:ascii="楷体" w:hAnsi="楷体" w:eastAsia="楷体"/>
          <w:color w:val="auto"/>
          <w:szCs w:val="21"/>
          <w:highlight w:val="none"/>
          <w:u w:val="none"/>
        </w:rPr>
        <w:t>证件号码：</w:t>
      </w:r>
    </w:p>
    <w:p>
      <w:pPr>
        <w:spacing w:line="360" w:lineRule="auto"/>
        <w:rPr>
          <w:rFonts w:ascii="楷体" w:hAnsi="楷体" w:eastAsia="楷体"/>
          <w:color w:val="auto"/>
          <w:szCs w:val="21"/>
          <w:highlight w:val="none"/>
          <w:u w:val="none"/>
        </w:rPr>
      </w:pPr>
      <w:r>
        <w:rPr>
          <w:rFonts w:ascii="楷体" w:hAnsi="楷体" w:eastAsia="楷体"/>
          <w:color w:val="auto"/>
          <w:szCs w:val="21"/>
          <w:highlight w:val="none"/>
          <w:u w:val="none"/>
        </w:rPr>
        <w:t>通讯地址：</w:t>
      </w:r>
    </w:p>
    <w:p>
      <w:pPr>
        <w:spacing w:line="360" w:lineRule="auto"/>
        <w:rPr>
          <w:rFonts w:ascii="楷体" w:hAnsi="楷体" w:eastAsia="楷体"/>
          <w:color w:val="auto"/>
          <w:szCs w:val="21"/>
          <w:highlight w:val="none"/>
          <w:u w:val="none"/>
        </w:rPr>
      </w:pPr>
      <w:r>
        <w:rPr>
          <w:rFonts w:ascii="楷体" w:hAnsi="楷体" w:eastAsia="楷体"/>
          <w:color w:val="auto"/>
          <w:szCs w:val="21"/>
          <w:highlight w:val="none"/>
          <w:u w:val="none"/>
        </w:rPr>
        <w:t>邮编：</w:t>
      </w:r>
    </w:p>
    <w:p>
      <w:pPr>
        <w:spacing w:line="360" w:lineRule="auto"/>
        <w:rPr>
          <w:rFonts w:ascii="楷体" w:hAnsi="楷体" w:eastAsia="楷体"/>
          <w:color w:val="auto"/>
          <w:szCs w:val="21"/>
          <w:highlight w:val="none"/>
          <w:u w:val="none"/>
        </w:rPr>
      </w:pPr>
      <w:r>
        <w:rPr>
          <w:rFonts w:ascii="楷体" w:hAnsi="楷体" w:eastAsia="楷体"/>
          <w:color w:val="auto"/>
          <w:szCs w:val="21"/>
          <w:highlight w:val="none"/>
          <w:u w:val="none"/>
        </w:rPr>
        <w:t>联系电话：</w:t>
      </w:r>
    </w:p>
    <w:p>
      <w:pPr>
        <w:spacing w:line="360" w:lineRule="auto"/>
        <w:rPr>
          <w:rFonts w:ascii="楷体" w:hAnsi="楷体" w:eastAsia="楷体"/>
          <w:color w:val="auto"/>
          <w:szCs w:val="21"/>
          <w:highlight w:val="none"/>
          <w:u w:val="none"/>
        </w:rPr>
      </w:pPr>
      <w:r>
        <w:rPr>
          <w:rFonts w:ascii="楷体" w:hAnsi="楷体" w:eastAsia="楷体"/>
          <w:color w:val="auto"/>
          <w:szCs w:val="21"/>
          <w:highlight w:val="none"/>
          <w:u w:val="none"/>
        </w:rPr>
        <w:t>电子邮箱：</w:t>
      </w:r>
    </w:p>
    <w:p>
      <w:pPr>
        <w:spacing w:line="360" w:lineRule="auto"/>
        <w:rPr>
          <w:rFonts w:ascii="楷体" w:hAnsi="楷体" w:eastAsia="楷体"/>
          <w:color w:val="auto"/>
          <w:szCs w:val="21"/>
          <w:highlight w:val="none"/>
          <w:u w:val="none"/>
        </w:rPr>
      </w:pPr>
    </w:p>
    <w:p>
      <w:pPr>
        <w:numPr>
          <w:ilvl w:val="0"/>
          <w:numId w:val="0"/>
        </w:numPr>
        <w:spacing w:line="360" w:lineRule="auto"/>
        <w:ind w:left="0" w:firstLine="0"/>
        <w:rPr>
          <w:rFonts w:ascii="楷体" w:hAnsi="楷体" w:eastAsia="楷体"/>
          <w:color w:val="auto"/>
          <w:szCs w:val="21"/>
          <w:highlight w:val="none"/>
          <w:u w:val="none"/>
        </w:rPr>
      </w:pPr>
      <w:r>
        <w:rPr>
          <w:rFonts w:ascii="楷体" w:hAnsi="楷体" w:eastAsia="楷体"/>
          <w:color w:val="auto"/>
          <w:szCs w:val="21"/>
          <w:highlight w:val="none"/>
          <w:u w:val="none"/>
        </w:rPr>
        <w:t>2.法人或其他组织</w:t>
      </w:r>
    </w:p>
    <w:p>
      <w:pPr>
        <w:spacing w:line="360" w:lineRule="auto"/>
        <w:rPr>
          <w:rFonts w:ascii="楷体" w:hAnsi="楷体" w:eastAsia="楷体"/>
          <w:color w:val="auto"/>
          <w:szCs w:val="21"/>
          <w:highlight w:val="none"/>
          <w:u w:val="none"/>
        </w:rPr>
      </w:pPr>
      <w:r>
        <w:rPr>
          <w:rFonts w:ascii="楷体" w:hAnsi="楷体" w:eastAsia="楷体"/>
          <w:color w:val="auto"/>
          <w:szCs w:val="21"/>
          <w:highlight w:val="none"/>
          <w:u w:val="none"/>
        </w:rPr>
        <w:t>名称：</w:t>
      </w:r>
    </w:p>
    <w:p>
      <w:pPr>
        <w:spacing w:line="360" w:lineRule="auto"/>
        <w:rPr>
          <w:rFonts w:ascii="楷体" w:hAnsi="楷体" w:eastAsia="楷体"/>
          <w:color w:val="auto"/>
          <w:szCs w:val="21"/>
          <w:highlight w:val="none"/>
          <w:u w:val="none"/>
        </w:rPr>
      </w:pPr>
      <w:r>
        <w:rPr>
          <w:rFonts w:ascii="楷体" w:hAnsi="楷体" w:eastAsia="楷体"/>
          <w:color w:val="auto"/>
          <w:szCs w:val="21"/>
          <w:highlight w:val="none"/>
          <w:u w:val="none"/>
        </w:rPr>
        <w:t>营业执照号码：</w:t>
      </w:r>
    </w:p>
    <w:p>
      <w:pPr>
        <w:spacing w:line="360" w:lineRule="auto"/>
        <w:rPr>
          <w:rFonts w:ascii="楷体" w:hAnsi="楷体" w:eastAsia="楷体"/>
          <w:color w:val="auto"/>
          <w:szCs w:val="21"/>
          <w:highlight w:val="none"/>
          <w:u w:val="none"/>
        </w:rPr>
      </w:pPr>
      <w:r>
        <w:rPr>
          <w:rFonts w:ascii="楷体" w:hAnsi="楷体" w:eastAsia="楷体"/>
          <w:color w:val="auto"/>
          <w:szCs w:val="21"/>
          <w:highlight w:val="none"/>
          <w:u w:val="none"/>
        </w:rPr>
        <w:t>组织机构代码证号码：</w:t>
      </w:r>
    </w:p>
    <w:p>
      <w:pPr>
        <w:spacing w:line="360" w:lineRule="auto"/>
        <w:rPr>
          <w:rFonts w:ascii="楷体" w:hAnsi="楷体" w:eastAsia="楷体"/>
          <w:color w:val="auto"/>
          <w:szCs w:val="21"/>
          <w:highlight w:val="none"/>
          <w:u w:val="none"/>
        </w:rPr>
      </w:pPr>
      <w:r>
        <w:rPr>
          <w:rFonts w:ascii="楷体" w:hAnsi="楷体" w:eastAsia="楷体"/>
          <w:color w:val="auto"/>
          <w:szCs w:val="21"/>
          <w:highlight w:val="none"/>
          <w:u w:val="none"/>
        </w:rPr>
        <w:t>法定代表人：</w:t>
      </w:r>
    </w:p>
    <w:p>
      <w:pPr>
        <w:spacing w:line="360" w:lineRule="auto"/>
        <w:rPr>
          <w:rFonts w:ascii="楷体" w:hAnsi="楷体" w:eastAsia="楷体"/>
          <w:color w:val="auto"/>
          <w:szCs w:val="21"/>
          <w:highlight w:val="none"/>
          <w:u w:val="none"/>
        </w:rPr>
      </w:pPr>
      <w:r>
        <w:rPr>
          <w:rFonts w:ascii="楷体" w:hAnsi="楷体" w:eastAsia="楷体"/>
          <w:color w:val="auto"/>
          <w:szCs w:val="21"/>
          <w:highlight w:val="none"/>
          <w:u w:val="none"/>
        </w:rPr>
        <w:t>住所：</w:t>
      </w:r>
    </w:p>
    <w:p>
      <w:pPr>
        <w:spacing w:line="360" w:lineRule="auto"/>
        <w:rPr>
          <w:rFonts w:ascii="楷体" w:hAnsi="楷体" w:eastAsia="楷体"/>
          <w:color w:val="auto"/>
          <w:szCs w:val="21"/>
          <w:highlight w:val="none"/>
          <w:u w:val="none"/>
        </w:rPr>
      </w:pPr>
      <w:r>
        <w:rPr>
          <w:rFonts w:ascii="楷体" w:hAnsi="楷体" w:eastAsia="楷体"/>
          <w:color w:val="auto"/>
          <w:szCs w:val="21"/>
          <w:highlight w:val="none"/>
          <w:u w:val="none"/>
        </w:rPr>
        <w:t>邮编：</w:t>
      </w:r>
    </w:p>
    <w:p>
      <w:pPr>
        <w:spacing w:line="360" w:lineRule="auto"/>
        <w:rPr>
          <w:rFonts w:ascii="楷体" w:hAnsi="楷体" w:eastAsia="楷体"/>
          <w:color w:val="auto"/>
          <w:szCs w:val="21"/>
          <w:highlight w:val="none"/>
          <w:u w:val="none"/>
        </w:rPr>
      </w:pPr>
      <w:r>
        <w:rPr>
          <w:rFonts w:ascii="楷体" w:hAnsi="楷体" w:eastAsia="楷体"/>
          <w:color w:val="auto"/>
          <w:szCs w:val="21"/>
          <w:highlight w:val="none"/>
          <w:u w:val="none"/>
        </w:rPr>
        <w:t>联系人：</w:t>
      </w:r>
    </w:p>
    <w:p>
      <w:pPr>
        <w:spacing w:line="360" w:lineRule="auto"/>
        <w:rPr>
          <w:rFonts w:ascii="楷体" w:hAnsi="楷体" w:eastAsia="楷体"/>
          <w:color w:val="auto"/>
          <w:szCs w:val="21"/>
          <w:highlight w:val="none"/>
          <w:u w:val="none"/>
        </w:rPr>
      </w:pPr>
      <w:r>
        <w:rPr>
          <w:rFonts w:ascii="楷体" w:hAnsi="楷体" w:eastAsia="楷体"/>
          <w:color w:val="auto"/>
          <w:szCs w:val="21"/>
          <w:highlight w:val="none"/>
          <w:u w:val="none"/>
        </w:rPr>
        <w:t>联系电话：</w:t>
      </w:r>
    </w:p>
    <w:p>
      <w:pPr>
        <w:spacing w:line="360" w:lineRule="auto"/>
        <w:rPr>
          <w:rFonts w:ascii="楷体" w:hAnsi="楷体" w:eastAsia="楷体"/>
          <w:color w:val="auto"/>
          <w:szCs w:val="21"/>
          <w:highlight w:val="none"/>
          <w:u w:val="none"/>
        </w:rPr>
      </w:pPr>
      <w:r>
        <w:rPr>
          <w:rFonts w:ascii="楷体" w:hAnsi="楷体" w:eastAsia="楷体"/>
          <w:color w:val="auto"/>
          <w:szCs w:val="21"/>
          <w:highlight w:val="none"/>
          <w:u w:val="none"/>
        </w:rPr>
        <w:t>电子邮箱：</w:t>
      </w:r>
    </w:p>
    <w:p>
      <w:pPr>
        <w:spacing w:line="360" w:lineRule="auto"/>
        <w:rPr>
          <w:rFonts w:ascii="楷体" w:hAnsi="楷体" w:eastAsia="楷体"/>
          <w:color w:val="auto"/>
          <w:szCs w:val="21"/>
          <w:highlight w:val="none"/>
          <w:u w:val="none"/>
        </w:rPr>
      </w:pPr>
      <w:r>
        <w:rPr>
          <w:rFonts w:ascii="楷体" w:hAnsi="楷体" w:eastAsia="楷体"/>
          <w:color w:val="auto"/>
          <w:szCs w:val="21"/>
          <w:highlight w:val="none"/>
          <w:u w:val="none"/>
        </w:rPr>
        <w:t>（二）投资者账户</w:t>
      </w:r>
    </w:p>
    <w:p>
      <w:pPr>
        <w:spacing w:line="360" w:lineRule="auto"/>
        <w:rPr>
          <w:rFonts w:ascii="楷体" w:hAnsi="楷体" w:eastAsia="楷体"/>
          <w:color w:val="auto"/>
          <w:szCs w:val="21"/>
          <w:highlight w:val="none"/>
          <w:u w:val="none"/>
        </w:rPr>
      </w:pPr>
      <w:r>
        <w:rPr>
          <w:rFonts w:ascii="楷体" w:hAnsi="楷体" w:eastAsia="楷体"/>
          <w:b/>
          <w:color w:val="auto"/>
          <w:szCs w:val="21"/>
          <w:highlight w:val="none"/>
          <w:u w:val="none"/>
        </w:rPr>
        <w:t>投资者认购的划出账户与接受本基金分配的划入账户，必须为以投资者名义开立的同一个账户</w:t>
      </w:r>
      <w:r>
        <w:rPr>
          <w:rFonts w:hint="eastAsia" w:ascii="楷体" w:hAnsi="楷体" w:eastAsia="楷体"/>
          <w:b/>
          <w:color w:val="auto"/>
          <w:szCs w:val="21"/>
          <w:highlight w:val="none"/>
          <w:u w:val="none"/>
        </w:rPr>
        <w:t>。</w:t>
      </w:r>
    </w:p>
    <w:p>
      <w:pPr>
        <w:spacing w:line="360" w:lineRule="auto"/>
        <w:rPr>
          <w:rFonts w:ascii="楷体" w:hAnsi="楷体" w:eastAsia="楷体"/>
          <w:color w:val="auto"/>
          <w:szCs w:val="21"/>
          <w:highlight w:val="none"/>
          <w:u w:val="none"/>
        </w:rPr>
      </w:pPr>
      <w:r>
        <w:rPr>
          <w:rFonts w:ascii="楷体" w:hAnsi="楷体" w:eastAsia="楷体"/>
          <w:color w:val="auto"/>
          <w:szCs w:val="21"/>
          <w:highlight w:val="none"/>
          <w:u w:val="none"/>
        </w:rPr>
        <w:t>账户信息如下：</w:t>
      </w:r>
    </w:p>
    <w:p>
      <w:pPr>
        <w:spacing w:line="360" w:lineRule="auto"/>
        <w:rPr>
          <w:rFonts w:ascii="楷体" w:hAnsi="楷体" w:eastAsia="楷体"/>
          <w:color w:val="auto"/>
          <w:szCs w:val="21"/>
          <w:highlight w:val="none"/>
          <w:u w:val="none"/>
        </w:rPr>
      </w:pPr>
      <w:r>
        <w:rPr>
          <w:rFonts w:ascii="楷体" w:hAnsi="楷体" w:eastAsia="楷体"/>
          <w:color w:val="auto"/>
          <w:szCs w:val="21"/>
          <w:highlight w:val="none"/>
          <w:u w:val="none"/>
        </w:rPr>
        <w:t>账户名称：</w:t>
      </w:r>
    </w:p>
    <w:p>
      <w:pPr>
        <w:spacing w:line="360" w:lineRule="auto"/>
        <w:rPr>
          <w:rFonts w:ascii="楷体" w:hAnsi="楷体" w:eastAsia="楷体"/>
          <w:color w:val="auto"/>
          <w:szCs w:val="21"/>
          <w:highlight w:val="none"/>
          <w:u w:val="none"/>
        </w:rPr>
      </w:pPr>
      <w:r>
        <w:rPr>
          <w:rFonts w:ascii="楷体" w:hAnsi="楷体" w:eastAsia="楷体"/>
          <w:color w:val="auto"/>
          <w:szCs w:val="21"/>
          <w:highlight w:val="none"/>
          <w:u w:val="none"/>
        </w:rPr>
        <w:t>账号：</w:t>
      </w:r>
    </w:p>
    <w:p>
      <w:pPr>
        <w:spacing w:line="360" w:lineRule="auto"/>
        <w:rPr>
          <w:rFonts w:ascii="楷体" w:hAnsi="楷体" w:eastAsia="楷体"/>
          <w:color w:val="auto"/>
          <w:szCs w:val="21"/>
          <w:highlight w:val="none"/>
          <w:u w:val="none"/>
        </w:rPr>
      </w:pPr>
      <w:r>
        <w:rPr>
          <w:rFonts w:ascii="楷体" w:hAnsi="楷体" w:eastAsia="楷体"/>
          <w:color w:val="auto"/>
          <w:szCs w:val="21"/>
          <w:highlight w:val="none"/>
          <w:u w:val="none"/>
        </w:rPr>
        <w:t>开户银行名称：</w:t>
      </w:r>
    </w:p>
    <w:p>
      <w:pPr>
        <w:spacing w:line="360" w:lineRule="auto"/>
        <w:rPr>
          <w:rFonts w:ascii="楷体" w:hAnsi="楷体" w:eastAsia="楷体"/>
          <w:color w:val="auto"/>
          <w:szCs w:val="21"/>
          <w:highlight w:val="none"/>
          <w:u w:val="none"/>
        </w:rPr>
      </w:pPr>
    </w:p>
    <w:p>
      <w:pPr>
        <w:spacing w:line="360" w:lineRule="auto"/>
        <w:rPr>
          <w:rFonts w:ascii="楷体" w:hAnsi="楷体" w:eastAsia="楷体"/>
          <w:color w:val="auto"/>
          <w:szCs w:val="21"/>
          <w:highlight w:val="none"/>
          <w:u w:val="none"/>
        </w:rPr>
      </w:pPr>
      <w:r>
        <w:rPr>
          <w:rFonts w:ascii="楷体" w:hAnsi="楷体" w:eastAsia="楷体"/>
          <w:color w:val="auto"/>
          <w:szCs w:val="21"/>
          <w:highlight w:val="none"/>
          <w:u w:val="none"/>
        </w:rPr>
        <w:t>（三）认购/申购的份额类别及</w:t>
      </w:r>
      <w:r>
        <w:rPr>
          <w:rFonts w:hint="eastAsia" w:ascii="楷体" w:hAnsi="楷体" w:eastAsia="楷体"/>
          <w:color w:val="auto"/>
          <w:szCs w:val="21"/>
          <w:highlight w:val="none"/>
          <w:u w:val="none"/>
        </w:rPr>
        <w:t>金额</w:t>
      </w:r>
    </w:p>
    <w:p>
      <w:pPr>
        <w:spacing w:line="360" w:lineRule="auto"/>
        <w:rPr>
          <w:rFonts w:ascii="楷体" w:hAnsi="楷体" w:eastAsia="楷体"/>
          <w:color w:val="auto"/>
          <w:szCs w:val="21"/>
          <w:highlight w:val="none"/>
          <w:u w:val="none"/>
        </w:rPr>
      </w:pPr>
      <w:r>
        <w:rPr>
          <w:rFonts w:ascii="楷体" w:hAnsi="楷体" w:eastAsia="楷体"/>
          <w:color w:val="auto"/>
          <w:szCs w:val="21"/>
          <w:highlight w:val="none"/>
          <w:u w:val="none"/>
        </w:rPr>
        <w:t xml:space="preserve">认购/申购的金额：  </w:t>
      </w:r>
      <w:r>
        <w:rPr>
          <w:rFonts w:hint="eastAsia" w:ascii="楷体" w:hAnsi="楷体" w:eastAsia="楷体"/>
          <w:color w:val="auto"/>
          <w:szCs w:val="21"/>
          <w:highlight w:val="none"/>
          <w:u w:val="none"/>
        </w:rPr>
        <w:t>元</w:t>
      </w:r>
    </w:p>
    <w:p>
      <w:pPr>
        <w:spacing w:line="440" w:lineRule="atLeast"/>
        <w:rPr>
          <w:rFonts w:ascii="楷体" w:hAnsi="楷体" w:eastAsia="楷体"/>
          <w:color w:val="auto"/>
          <w:highlight w:val="none"/>
          <w:u w:val="none"/>
        </w:rPr>
      </w:pPr>
      <w:r>
        <w:rPr>
          <w:rFonts w:ascii="楷体" w:hAnsi="楷体" w:eastAsia="楷体"/>
          <w:b/>
          <w:color w:val="auto"/>
          <w:szCs w:val="21"/>
          <w:highlight w:val="none"/>
          <w:u w:val="none"/>
        </w:rPr>
        <w:br w:type="page"/>
      </w:r>
      <w:r>
        <w:rPr>
          <w:rFonts w:hint="eastAsia" w:ascii="楷体" w:hAnsi="楷体" w:eastAsia="楷体"/>
          <w:color w:val="auto"/>
          <w:highlight w:val="none"/>
          <w:u w:val="none"/>
        </w:rPr>
        <w:t>（本页无正文，为《睿璞投资</w:t>
      </w:r>
      <w:r>
        <w:rPr>
          <w:rFonts w:ascii="楷体" w:hAnsi="楷体" w:eastAsia="楷体"/>
          <w:color w:val="auto"/>
          <w:highlight w:val="none"/>
          <w:u w:val="none"/>
        </w:rPr>
        <w:t>-睿洪三号私募证券投资基金基金合同</w:t>
      </w:r>
      <w:r>
        <w:rPr>
          <w:rFonts w:hint="eastAsia" w:ascii="楷体" w:hAnsi="楷体" w:eastAsia="楷体"/>
          <w:color w:val="auto"/>
          <w:highlight w:val="none"/>
          <w:u w:val="none"/>
        </w:rPr>
        <w:t>》签署页）</w:t>
      </w:r>
    </w:p>
    <w:p>
      <w:pPr>
        <w:spacing w:line="360" w:lineRule="auto"/>
        <w:rPr>
          <w:rFonts w:ascii="楷体" w:hAnsi="楷体" w:eastAsia="楷体"/>
          <w:color w:val="auto"/>
          <w:highlight w:val="none"/>
          <w:u w:val="none"/>
        </w:rPr>
      </w:pPr>
    </w:p>
    <w:p>
      <w:pPr>
        <w:spacing w:line="360" w:lineRule="auto"/>
        <w:rPr>
          <w:rFonts w:ascii="楷体" w:hAnsi="楷体" w:eastAsia="楷体"/>
          <w:color w:val="auto"/>
          <w:szCs w:val="21"/>
          <w:highlight w:val="none"/>
          <w:u w:val="none"/>
        </w:rPr>
      </w:pPr>
      <w:r>
        <w:rPr>
          <w:rFonts w:ascii="楷体" w:hAnsi="楷体" w:eastAsia="楷体"/>
          <w:color w:val="auto"/>
          <w:szCs w:val="21"/>
          <w:highlight w:val="none"/>
          <w:u w:val="none"/>
        </w:rPr>
        <w:t>投资者：</w:t>
      </w:r>
    </w:p>
    <w:p>
      <w:pPr>
        <w:spacing w:line="360" w:lineRule="auto"/>
        <w:rPr>
          <w:rFonts w:ascii="楷体" w:hAnsi="楷体" w:eastAsia="楷体"/>
          <w:color w:val="auto"/>
          <w:szCs w:val="21"/>
          <w:highlight w:val="none"/>
          <w:u w:val="none"/>
        </w:rPr>
      </w:pPr>
    </w:p>
    <w:p>
      <w:pPr>
        <w:spacing w:line="360" w:lineRule="auto"/>
        <w:rPr>
          <w:rFonts w:ascii="楷体" w:hAnsi="楷体" w:eastAsia="楷体"/>
          <w:color w:val="auto"/>
          <w:szCs w:val="21"/>
          <w:highlight w:val="none"/>
          <w:u w:val="none"/>
        </w:rPr>
      </w:pPr>
    </w:p>
    <w:p>
      <w:pPr>
        <w:spacing w:line="360" w:lineRule="auto"/>
        <w:rPr>
          <w:rFonts w:ascii="楷体" w:hAnsi="楷体" w:eastAsia="楷体"/>
          <w:color w:val="auto"/>
          <w:szCs w:val="21"/>
          <w:highlight w:val="none"/>
          <w:u w:val="none"/>
        </w:rPr>
      </w:pPr>
      <w:r>
        <w:rPr>
          <w:rFonts w:ascii="楷体" w:hAnsi="楷体" w:eastAsia="楷体"/>
          <w:color w:val="auto"/>
          <w:szCs w:val="21"/>
          <w:highlight w:val="none"/>
          <w:u w:val="none"/>
        </w:rPr>
        <w:t>法定代表人或授权签字人：</w:t>
      </w:r>
    </w:p>
    <w:p>
      <w:pPr>
        <w:spacing w:line="360" w:lineRule="auto"/>
        <w:rPr>
          <w:rFonts w:ascii="楷体" w:hAnsi="楷体" w:eastAsia="楷体"/>
          <w:color w:val="auto"/>
          <w:szCs w:val="21"/>
          <w:highlight w:val="none"/>
          <w:u w:val="none"/>
        </w:rPr>
      </w:pPr>
    </w:p>
    <w:p>
      <w:pPr>
        <w:spacing w:line="360" w:lineRule="auto"/>
        <w:rPr>
          <w:rFonts w:ascii="楷体" w:hAnsi="楷体" w:eastAsia="楷体"/>
          <w:color w:val="auto"/>
          <w:szCs w:val="21"/>
          <w:highlight w:val="none"/>
          <w:u w:val="none"/>
        </w:rPr>
      </w:pPr>
    </w:p>
    <w:p>
      <w:pPr>
        <w:spacing w:line="360" w:lineRule="auto"/>
        <w:rPr>
          <w:rFonts w:ascii="楷体" w:hAnsi="楷体" w:eastAsia="楷体"/>
          <w:color w:val="auto"/>
          <w:szCs w:val="21"/>
          <w:highlight w:val="none"/>
          <w:u w:val="none"/>
        </w:rPr>
      </w:pPr>
      <w:r>
        <w:rPr>
          <w:rFonts w:ascii="楷体" w:hAnsi="楷体" w:eastAsia="楷体"/>
          <w:color w:val="auto"/>
          <w:szCs w:val="21"/>
          <w:highlight w:val="none"/>
          <w:u w:val="none"/>
        </w:rPr>
        <w:t>管理人：</w:t>
      </w:r>
      <w:r>
        <w:rPr>
          <w:rFonts w:hint="eastAsia" w:ascii="楷体" w:hAnsi="楷体" w:eastAsia="楷体"/>
          <w:color w:val="auto"/>
          <w:szCs w:val="21"/>
          <w:highlight w:val="none"/>
          <w:u w:val="none"/>
        </w:rPr>
        <w:t>广东睿璞投资管理有限公司</w:t>
      </w:r>
    </w:p>
    <w:p>
      <w:pPr>
        <w:spacing w:line="360" w:lineRule="auto"/>
        <w:rPr>
          <w:rFonts w:ascii="楷体" w:hAnsi="楷体" w:eastAsia="楷体"/>
          <w:color w:val="auto"/>
          <w:szCs w:val="21"/>
          <w:highlight w:val="none"/>
          <w:u w:val="none"/>
        </w:rPr>
      </w:pPr>
    </w:p>
    <w:p>
      <w:pPr>
        <w:spacing w:line="360" w:lineRule="auto"/>
        <w:rPr>
          <w:rFonts w:ascii="楷体" w:hAnsi="楷体" w:eastAsia="楷体"/>
          <w:color w:val="auto"/>
          <w:szCs w:val="21"/>
          <w:highlight w:val="none"/>
          <w:u w:val="none"/>
        </w:rPr>
      </w:pPr>
    </w:p>
    <w:p>
      <w:pPr>
        <w:spacing w:line="360" w:lineRule="auto"/>
        <w:rPr>
          <w:rFonts w:ascii="楷体" w:hAnsi="楷体" w:eastAsia="楷体"/>
          <w:color w:val="auto"/>
          <w:szCs w:val="21"/>
          <w:highlight w:val="none"/>
          <w:u w:val="none"/>
        </w:rPr>
      </w:pPr>
      <w:r>
        <w:rPr>
          <w:rFonts w:ascii="楷体" w:hAnsi="楷体" w:eastAsia="楷体"/>
          <w:color w:val="auto"/>
          <w:szCs w:val="21"/>
          <w:highlight w:val="none"/>
          <w:u w:val="none"/>
        </w:rPr>
        <w:t>法定代表人或授权</w:t>
      </w:r>
      <w:r>
        <w:rPr>
          <w:rFonts w:hint="eastAsia" w:ascii="楷体" w:hAnsi="楷体" w:eastAsia="楷体"/>
          <w:color w:val="auto"/>
          <w:szCs w:val="21"/>
          <w:highlight w:val="none"/>
          <w:u w:val="none"/>
        </w:rPr>
        <w:t>代理</w:t>
      </w:r>
      <w:r>
        <w:rPr>
          <w:rFonts w:ascii="楷体" w:hAnsi="楷体" w:eastAsia="楷体"/>
          <w:color w:val="auto"/>
          <w:szCs w:val="21"/>
          <w:highlight w:val="none"/>
          <w:u w:val="none"/>
        </w:rPr>
        <w:t>人：</w:t>
      </w:r>
    </w:p>
    <w:p>
      <w:pPr>
        <w:spacing w:line="360" w:lineRule="auto"/>
        <w:rPr>
          <w:rFonts w:ascii="楷体" w:hAnsi="楷体" w:eastAsia="楷体"/>
          <w:color w:val="auto"/>
          <w:szCs w:val="21"/>
          <w:highlight w:val="none"/>
          <w:u w:val="none"/>
        </w:rPr>
      </w:pPr>
    </w:p>
    <w:p>
      <w:pPr>
        <w:spacing w:line="360" w:lineRule="auto"/>
        <w:rPr>
          <w:rFonts w:ascii="楷体" w:hAnsi="楷体" w:eastAsia="楷体"/>
          <w:color w:val="auto"/>
          <w:szCs w:val="21"/>
          <w:highlight w:val="none"/>
          <w:u w:val="none"/>
        </w:rPr>
      </w:pPr>
    </w:p>
    <w:p>
      <w:pPr>
        <w:spacing w:line="360" w:lineRule="auto"/>
        <w:rPr>
          <w:rFonts w:ascii="楷体" w:hAnsi="楷体" w:eastAsia="楷体"/>
          <w:color w:val="auto"/>
          <w:szCs w:val="21"/>
          <w:highlight w:val="none"/>
          <w:u w:val="none"/>
        </w:rPr>
      </w:pPr>
    </w:p>
    <w:p>
      <w:pPr>
        <w:spacing w:line="360" w:lineRule="auto"/>
        <w:rPr>
          <w:rFonts w:ascii="楷体" w:hAnsi="楷体" w:eastAsia="楷体"/>
          <w:color w:val="auto"/>
          <w:szCs w:val="21"/>
          <w:highlight w:val="none"/>
          <w:u w:val="none"/>
        </w:rPr>
      </w:pPr>
      <w:r>
        <w:rPr>
          <w:rFonts w:ascii="楷体" w:hAnsi="楷体" w:eastAsia="楷体"/>
          <w:color w:val="auto"/>
          <w:szCs w:val="21"/>
          <w:highlight w:val="none"/>
          <w:u w:val="none"/>
        </w:rPr>
        <w:t>托管人：国信证券股份有限公司</w:t>
      </w:r>
    </w:p>
    <w:p>
      <w:pPr>
        <w:spacing w:line="360" w:lineRule="auto"/>
        <w:rPr>
          <w:rFonts w:ascii="楷体" w:hAnsi="楷体" w:eastAsia="楷体"/>
          <w:color w:val="auto"/>
          <w:szCs w:val="21"/>
          <w:highlight w:val="none"/>
          <w:u w:val="none"/>
        </w:rPr>
      </w:pPr>
    </w:p>
    <w:p>
      <w:pPr>
        <w:spacing w:line="360" w:lineRule="auto"/>
        <w:rPr>
          <w:rFonts w:ascii="楷体" w:hAnsi="楷体" w:eastAsia="楷体"/>
          <w:color w:val="auto"/>
          <w:szCs w:val="21"/>
          <w:highlight w:val="none"/>
          <w:u w:val="none"/>
        </w:rPr>
      </w:pPr>
    </w:p>
    <w:p>
      <w:pPr>
        <w:spacing w:line="360" w:lineRule="auto"/>
        <w:rPr>
          <w:rFonts w:ascii="楷体" w:hAnsi="楷体" w:eastAsia="楷体"/>
          <w:color w:val="auto"/>
          <w:szCs w:val="21"/>
          <w:highlight w:val="none"/>
          <w:u w:val="none"/>
        </w:rPr>
      </w:pPr>
      <w:r>
        <w:rPr>
          <w:rFonts w:ascii="楷体" w:hAnsi="楷体" w:eastAsia="楷体"/>
          <w:color w:val="auto"/>
          <w:szCs w:val="21"/>
          <w:highlight w:val="none"/>
          <w:u w:val="none"/>
        </w:rPr>
        <w:t>法定代表人或授权</w:t>
      </w:r>
      <w:r>
        <w:rPr>
          <w:rFonts w:hint="eastAsia" w:ascii="楷体" w:hAnsi="楷体" w:eastAsia="楷体"/>
          <w:color w:val="auto"/>
          <w:szCs w:val="21"/>
          <w:highlight w:val="none"/>
          <w:u w:val="none"/>
        </w:rPr>
        <w:t>代理</w:t>
      </w:r>
      <w:r>
        <w:rPr>
          <w:rFonts w:ascii="楷体" w:hAnsi="楷体" w:eastAsia="楷体"/>
          <w:color w:val="auto"/>
          <w:szCs w:val="21"/>
          <w:highlight w:val="none"/>
          <w:u w:val="none"/>
        </w:rPr>
        <w:t>人：</w:t>
      </w:r>
    </w:p>
    <w:p>
      <w:pPr>
        <w:spacing w:line="360" w:lineRule="auto"/>
        <w:rPr>
          <w:rFonts w:ascii="楷体" w:hAnsi="楷体" w:eastAsia="楷体"/>
          <w:color w:val="auto"/>
          <w:szCs w:val="21"/>
          <w:highlight w:val="none"/>
          <w:u w:val="none"/>
        </w:rPr>
      </w:pPr>
    </w:p>
    <w:p>
      <w:pPr>
        <w:spacing w:line="360" w:lineRule="auto"/>
        <w:rPr>
          <w:rFonts w:ascii="楷体" w:hAnsi="楷体" w:eastAsia="楷体"/>
          <w:color w:val="auto"/>
          <w:szCs w:val="21"/>
          <w:highlight w:val="none"/>
          <w:u w:val="none"/>
        </w:rPr>
      </w:pPr>
    </w:p>
    <w:p>
      <w:pPr>
        <w:wordWrap w:val="0"/>
        <w:spacing w:line="360" w:lineRule="auto"/>
        <w:jc w:val="right"/>
        <w:rPr>
          <w:rFonts w:ascii="楷体" w:hAnsi="楷体" w:eastAsia="楷体"/>
          <w:color w:val="auto"/>
          <w:szCs w:val="21"/>
          <w:highlight w:val="none"/>
          <w:u w:val="none"/>
        </w:rPr>
      </w:pPr>
      <w:r>
        <w:rPr>
          <w:rFonts w:ascii="楷体" w:hAnsi="楷体" w:eastAsia="楷体"/>
          <w:color w:val="auto"/>
          <w:szCs w:val="21"/>
          <w:highlight w:val="none"/>
          <w:u w:val="none"/>
        </w:rPr>
        <w:t>签署日期：</w:t>
      </w:r>
      <w:r>
        <w:rPr>
          <w:rFonts w:hint="eastAsia" w:ascii="楷体" w:hAnsi="楷体" w:eastAsia="楷体"/>
          <w:color w:val="auto"/>
          <w:szCs w:val="21"/>
          <w:highlight w:val="none"/>
          <w:u w:val="none"/>
        </w:rPr>
        <w:t>二〇一年</w:t>
      </w:r>
      <w:r>
        <w:rPr>
          <w:rFonts w:ascii="楷体" w:hAnsi="楷体" w:eastAsia="楷体"/>
          <w:color w:val="auto"/>
          <w:szCs w:val="21"/>
          <w:highlight w:val="none"/>
          <w:u w:val="none"/>
        </w:rPr>
        <w:t xml:space="preserve">   月   日</w:t>
      </w:r>
    </w:p>
    <w:p>
      <w:pPr>
        <w:widowControl/>
        <w:jc w:val="left"/>
        <w:rPr>
          <w:rFonts w:ascii="楷体" w:hAnsi="楷体" w:eastAsia="楷体"/>
          <w:color w:val="auto"/>
          <w:szCs w:val="21"/>
          <w:highlight w:val="none"/>
          <w:u w:val="none"/>
        </w:rPr>
        <w:sectPr>
          <w:headerReference r:id="rId5" w:type="default"/>
          <w:footerReference r:id="rId6" w:type="default"/>
          <w:pgSz w:w="11906" w:h="16838"/>
          <w:pgMar w:top="1440" w:right="1800" w:bottom="1440" w:left="1800" w:header="851" w:footer="992" w:gutter="0"/>
          <w:pgNumType w:start="1"/>
          <w:cols w:space="720" w:num="1"/>
          <w:docGrid w:type="lines" w:linePitch="312" w:charSpace="0"/>
        </w:sectPr>
      </w:pPr>
      <w:bookmarkStart w:id="82" w:name="_Toc441160095"/>
      <w:bookmarkStart w:id="83" w:name="_Toc393454275"/>
      <w:bookmarkStart w:id="84" w:name="_Toc426128539"/>
      <w:bookmarkStart w:id="85" w:name="_Toc408509140"/>
    </w:p>
    <w:p>
      <w:pPr>
        <w:widowControl/>
        <w:jc w:val="left"/>
        <w:rPr>
          <w:rFonts w:ascii="楷体" w:hAnsi="楷体" w:eastAsia="楷体"/>
          <w:b/>
          <w:color w:val="auto"/>
          <w:sz w:val="24"/>
          <w:highlight w:val="none"/>
          <w:u w:val="none"/>
        </w:rPr>
      </w:pPr>
      <w:r>
        <w:rPr>
          <w:rFonts w:hint="eastAsia" w:ascii="楷体" w:hAnsi="楷体" w:eastAsia="楷体"/>
          <w:b/>
          <w:color w:val="auto"/>
          <w:sz w:val="24"/>
          <w:highlight w:val="none"/>
          <w:u w:val="none"/>
        </w:rPr>
        <w:t>附件一</w:t>
      </w:r>
    </w:p>
    <w:bookmarkEnd w:id="82"/>
    <w:bookmarkEnd w:id="83"/>
    <w:bookmarkEnd w:id="84"/>
    <w:bookmarkEnd w:id="85"/>
    <w:p>
      <w:pPr>
        <w:jc w:val="center"/>
        <w:rPr>
          <w:rFonts w:ascii="楷体" w:hAnsi="楷体" w:eastAsia="楷体"/>
          <w:b/>
          <w:color w:val="auto"/>
          <w:sz w:val="30"/>
          <w:szCs w:val="30"/>
          <w:highlight w:val="none"/>
          <w:u w:val="none"/>
        </w:rPr>
      </w:pPr>
      <w:r>
        <w:rPr>
          <w:rFonts w:hint="eastAsia" w:ascii="楷体" w:hAnsi="楷体" w:eastAsia="楷体"/>
          <w:b/>
          <w:color w:val="auto"/>
          <w:sz w:val="30"/>
          <w:szCs w:val="30"/>
          <w:highlight w:val="none"/>
          <w:u w:val="none"/>
        </w:rPr>
        <w:t>睿璞投资</w:t>
      </w:r>
      <w:r>
        <w:rPr>
          <w:rFonts w:ascii="楷体" w:hAnsi="楷体" w:eastAsia="楷体"/>
          <w:b/>
          <w:color w:val="auto"/>
          <w:sz w:val="30"/>
          <w:szCs w:val="30"/>
          <w:highlight w:val="none"/>
          <w:u w:val="none"/>
        </w:rPr>
        <w:t>-睿</w:t>
      </w:r>
      <w:r>
        <w:rPr>
          <w:rFonts w:hint="eastAsia" w:ascii="楷体" w:hAnsi="楷体" w:eastAsia="楷体"/>
          <w:b/>
          <w:color w:val="auto"/>
          <w:sz w:val="30"/>
          <w:szCs w:val="30"/>
          <w:highlight w:val="none"/>
          <w:u w:val="none"/>
        </w:rPr>
        <w:t>洪三号私募证券投资基金</w:t>
      </w:r>
    </w:p>
    <w:p>
      <w:pPr>
        <w:pStyle w:val="4"/>
        <w:snapToGrid/>
        <w:spacing w:line="240" w:lineRule="auto"/>
        <w:rPr>
          <w:rFonts w:ascii="楷体" w:hAnsi="楷体" w:eastAsia="楷体"/>
          <w:color w:val="auto"/>
          <w:sz w:val="30"/>
          <w:szCs w:val="30"/>
          <w:highlight w:val="none"/>
          <w:u w:val="none"/>
        </w:rPr>
      </w:pPr>
      <w:bookmarkStart w:id="86" w:name="_Toc482974551"/>
      <w:r>
        <w:rPr>
          <w:rFonts w:ascii="楷体" w:hAnsi="楷体" w:eastAsia="楷体"/>
          <w:color w:val="auto"/>
          <w:sz w:val="30"/>
          <w:szCs w:val="30"/>
          <w:highlight w:val="none"/>
          <w:u w:val="none"/>
        </w:rPr>
        <w:t>风险揭示书</w:t>
      </w:r>
      <w:bookmarkEnd w:id="86"/>
    </w:p>
    <w:p>
      <w:pPr>
        <w:pStyle w:val="81"/>
        <w:rPr>
          <w:rFonts w:ascii="楷体" w:hAnsi="楷体" w:eastAsia="楷体"/>
          <w:color w:val="auto"/>
          <w:szCs w:val="21"/>
          <w:highlight w:val="none"/>
          <w:u w:val="none"/>
        </w:rPr>
      </w:pPr>
      <w:r>
        <w:rPr>
          <w:color w:val="auto"/>
          <w:szCs w:val="21"/>
          <w:highlight w:val="none"/>
          <w:u w:val="none"/>
        </w:rPr>
        <w:t>为维护投资者的利益，广东睿璞投资管理有限公司（</w:t>
      </w:r>
      <w:r>
        <w:rPr>
          <w:rFonts w:hint="eastAsia"/>
          <w:color w:val="auto"/>
          <w:szCs w:val="21"/>
          <w:highlight w:val="none"/>
          <w:u w:val="none"/>
        </w:rPr>
        <w:t>“管理人”</w:t>
      </w:r>
      <w:r>
        <w:rPr>
          <w:color w:val="auto"/>
          <w:szCs w:val="21"/>
          <w:highlight w:val="none"/>
          <w:u w:val="none"/>
        </w:rPr>
        <w:t>）在此提示投资者在签署《睿璞投资-睿洪三号私募证券投资基金基金合同》（</w:t>
      </w:r>
      <w:r>
        <w:rPr>
          <w:rFonts w:hint="eastAsia"/>
          <w:color w:val="auto"/>
          <w:szCs w:val="21"/>
          <w:highlight w:val="none"/>
          <w:u w:val="none"/>
        </w:rPr>
        <w:t>“基金合同”</w:t>
      </w:r>
      <w:r>
        <w:rPr>
          <w:color w:val="auto"/>
          <w:szCs w:val="21"/>
          <w:highlight w:val="none"/>
          <w:u w:val="none"/>
        </w:rPr>
        <w:t>）前特别注意如下事项：</w:t>
      </w:r>
    </w:p>
    <w:p>
      <w:pPr>
        <w:pStyle w:val="81"/>
        <w:rPr>
          <w:rFonts w:ascii="楷体" w:hAnsi="楷体" w:eastAsia="楷体"/>
          <w:color w:val="auto"/>
          <w:szCs w:val="21"/>
          <w:highlight w:val="none"/>
          <w:u w:val="none"/>
        </w:rPr>
      </w:pPr>
      <w:r>
        <w:rPr>
          <w:rFonts w:hint="eastAsia"/>
          <w:color w:val="auto"/>
          <w:szCs w:val="21"/>
          <w:highlight w:val="none"/>
          <w:u w:val="none"/>
        </w:rPr>
        <w:t>一、</w:t>
      </w:r>
      <w:r>
        <w:rPr>
          <w:color w:val="auto"/>
          <w:szCs w:val="21"/>
          <w:highlight w:val="none"/>
          <w:u w:val="none"/>
        </w:rPr>
        <w:t>请投资者仔细阅读本风险揭示书、基金合同以及其他备查文件，确保投资者对本基金有充分、全面的了解，并对其签署该等法律文件并加入本基金后的所有权利、义务有明确的认识，独立自主做出是否签署该等文件的决定。</w:t>
      </w:r>
    </w:p>
    <w:p>
      <w:pPr>
        <w:pStyle w:val="81"/>
        <w:rPr>
          <w:rFonts w:ascii="楷体" w:hAnsi="楷体" w:eastAsia="楷体"/>
          <w:color w:val="auto"/>
          <w:szCs w:val="21"/>
          <w:highlight w:val="none"/>
          <w:u w:val="none"/>
        </w:rPr>
      </w:pPr>
      <w:r>
        <w:rPr>
          <w:rFonts w:hint="eastAsia"/>
          <w:color w:val="auto"/>
          <w:szCs w:val="21"/>
          <w:highlight w:val="none"/>
          <w:u w:val="none"/>
        </w:rPr>
        <w:t>二、</w:t>
      </w:r>
      <w:r>
        <w:rPr>
          <w:color w:val="auto"/>
          <w:szCs w:val="21"/>
          <w:highlight w:val="none"/>
          <w:u w:val="none"/>
        </w:rPr>
        <w:t>本</w:t>
      </w:r>
      <w:r>
        <w:rPr>
          <w:rFonts w:hint="eastAsia"/>
          <w:color w:val="auto"/>
          <w:szCs w:val="21"/>
          <w:highlight w:val="none"/>
          <w:u w:val="none"/>
        </w:rPr>
        <w:t>私募</w:t>
      </w:r>
      <w:r>
        <w:rPr>
          <w:color w:val="auto"/>
          <w:szCs w:val="21"/>
          <w:highlight w:val="none"/>
          <w:u w:val="none"/>
        </w:rPr>
        <w:t>基金面临</w:t>
      </w:r>
      <w:r>
        <w:rPr>
          <w:rFonts w:hint="eastAsia"/>
          <w:color w:val="auto"/>
          <w:szCs w:val="21"/>
          <w:highlight w:val="none"/>
          <w:u w:val="none"/>
        </w:rPr>
        <w:t>包括但不限于以下</w:t>
      </w:r>
      <w:r>
        <w:rPr>
          <w:color w:val="auto"/>
          <w:szCs w:val="21"/>
          <w:highlight w:val="none"/>
          <w:u w:val="none"/>
        </w:rPr>
        <w:t>风险：</w:t>
      </w:r>
    </w:p>
    <w:p>
      <w:pPr>
        <w:pStyle w:val="81"/>
        <w:rPr>
          <w:rFonts w:ascii="楷体" w:hAnsi="楷体" w:eastAsia="楷体"/>
          <w:color w:val="auto"/>
          <w:szCs w:val="21"/>
          <w:highlight w:val="none"/>
          <w:u w:val="none"/>
        </w:rPr>
      </w:pPr>
      <w:r>
        <w:rPr>
          <w:color w:val="auto"/>
          <w:szCs w:val="21"/>
          <w:highlight w:val="none"/>
          <w:u w:val="none"/>
        </w:rPr>
        <w:t>(</w:t>
      </w:r>
      <w:r>
        <w:rPr>
          <w:rFonts w:hint="eastAsia"/>
          <w:color w:val="auto"/>
          <w:szCs w:val="21"/>
          <w:highlight w:val="none"/>
          <w:u w:val="none"/>
        </w:rPr>
        <w:t>一</w:t>
      </w:r>
      <w:r>
        <w:rPr>
          <w:color w:val="auto"/>
          <w:szCs w:val="21"/>
          <w:highlight w:val="none"/>
          <w:u w:val="none"/>
        </w:rPr>
        <w:t>)</w:t>
      </w:r>
      <w:r>
        <w:rPr>
          <w:rFonts w:hint="eastAsia"/>
          <w:color w:val="auto"/>
          <w:szCs w:val="21"/>
          <w:highlight w:val="none"/>
          <w:u w:val="none"/>
        </w:rPr>
        <w:t>基金合同与基金业协会合同指引不一致所涉风险</w:t>
      </w:r>
    </w:p>
    <w:p>
      <w:pPr>
        <w:pStyle w:val="81"/>
        <w:rPr>
          <w:rFonts w:ascii="楷体" w:hAnsi="楷体" w:eastAsia="楷体"/>
          <w:color w:val="auto"/>
          <w:szCs w:val="21"/>
          <w:highlight w:val="none"/>
          <w:u w:val="none"/>
        </w:rPr>
      </w:pPr>
      <w:r>
        <w:rPr>
          <w:color w:val="auto"/>
          <w:szCs w:val="21"/>
          <w:highlight w:val="none"/>
          <w:u w:val="none"/>
        </w:rPr>
        <w:t>1.</w:t>
      </w:r>
      <w:r>
        <w:rPr>
          <w:rFonts w:hint="eastAsia"/>
          <w:color w:val="auto"/>
          <w:szCs w:val="21"/>
          <w:highlight w:val="none"/>
          <w:u w:val="none"/>
        </w:rPr>
        <w:t>《私募投资基金合同指引</w:t>
      </w:r>
      <w:r>
        <w:rPr>
          <w:color w:val="auto"/>
          <w:szCs w:val="21"/>
          <w:highlight w:val="none"/>
          <w:u w:val="none"/>
        </w:rPr>
        <w:t>1</w:t>
      </w:r>
      <w:r>
        <w:rPr>
          <w:rFonts w:hint="eastAsia"/>
          <w:color w:val="auto"/>
          <w:szCs w:val="21"/>
          <w:highlight w:val="none"/>
          <w:u w:val="none"/>
        </w:rPr>
        <w:t>号（契约型私募基金合同内容与格式指引》（以下简称“《格式指引</w:t>
      </w:r>
      <w:r>
        <w:rPr>
          <w:color w:val="auto"/>
          <w:szCs w:val="21"/>
          <w:highlight w:val="none"/>
          <w:u w:val="none"/>
        </w:rPr>
        <w:t>1</w:t>
      </w:r>
      <w:r>
        <w:rPr>
          <w:rFonts w:hint="eastAsia"/>
          <w:color w:val="auto"/>
          <w:szCs w:val="21"/>
          <w:highlight w:val="none"/>
          <w:u w:val="none"/>
        </w:rPr>
        <w:t>号》”）中“提前终止基金合同”须提交基金份额持有人大会审议，本合同约定管理人根据“基金的投资”章节约定的止损机制对基金进行平仓导致基金自行终止的，无需提交基金份额持有人大会审议；但其他情况下提前终止本合同的，仍须提交基金份额持有人大会审议。</w:t>
      </w:r>
    </w:p>
    <w:p>
      <w:pPr>
        <w:pStyle w:val="81"/>
        <w:rPr>
          <w:color w:val="auto"/>
          <w:szCs w:val="21"/>
          <w:highlight w:val="none"/>
          <w:u w:val="none"/>
        </w:rPr>
      </w:pPr>
      <w:r>
        <w:rPr>
          <w:color w:val="auto"/>
          <w:szCs w:val="21"/>
          <w:highlight w:val="none"/>
          <w:u w:val="none"/>
        </w:rPr>
        <w:t>2.</w:t>
      </w:r>
      <w:r>
        <w:rPr>
          <w:rFonts w:hint="eastAsia"/>
          <w:color w:val="auto"/>
          <w:szCs w:val="21"/>
          <w:highlight w:val="none"/>
          <w:u w:val="none"/>
        </w:rPr>
        <w:t>因《格式指引</w:t>
      </w:r>
      <w:r>
        <w:rPr>
          <w:color w:val="auto"/>
          <w:szCs w:val="21"/>
          <w:highlight w:val="none"/>
          <w:u w:val="none"/>
        </w:rPr>
        <w:t>1</w:t>
      </w:r>
      <w:r>
        <w:rPr>
          <w:rFonts w:hint="eastAsia"/>
          <w:color w:val="auto"/>
          <w:szCs w:val="21"/>
          <w:highlight w:val="none"/>
          <w:u w:val="none"/>
        </w:rPr>
        <w:t>号》中还有一些具体细节要求对基金合同当事人确不适用，故基金管理人对相应内容做出了合理调整和变动，但对投资者的实际权益无重大实质不利影响，不在此详细列出，请投资者在签署基金合同前详细阅读合同条款。</w:t>
      </w:r>
    </w:p>
    <w:p>
      <w:pPr>
        <w:pStyle w:val="81"/>
        <w:rPr>
          <w:color w:val="auto"/>
          <w:szCs w:val="21"/>
          <w:highlight w:val="none"/>
          <w:u w:val="none"/>
        </w:rPr>
      </w:pPr>
      <w:r>
        <w:rPr>
          <w:color w:val="auto"/>
          <w:szCs w:val="21"/>
          <w:highlight w:val="none"/>
          <w:u w:val="none"/>
        </w:rPr>
        <w:t>(二)</w:t>
      </w:r>
      <w:r>
        <w:rPr>
          <w:rFonts w:hint="eastAsia"/>
          <w:color w:val="auto"/>
          <w:szCs w:val="21"/>
          <w:highlight w:val="none"/>
          <w:u w:val="none"/>
        </w:rPr>
        <w:t>无法按意愿获得收益甚至亏损本金的风险</w:t>
      </w:r>
    </w:p>
    <w:p>
      <w:pPr>
        <w:pStyle w:val="81"/>
        <w:rPr>
          <w:color w:val="auto"/>
          <w:szCs w:val="21"/>
          <w:highlight w:val="none"/>
          <w:u w:val="none"/>
        </w:rPr>
      </w:pPr>
      <w:r>
        <w:rPr>
          <w:color w:val="auto"/>
          <w:szCs w:val="21"/>
          <w:highlight w:val="none"/>
          <w:u w:val="none"/>
        </w:rPr>
        <w:t>管理人</w:t>
      </w:r>
      <w:r>
        <w:rPr>
          <w:rFonts w:hint="eastAsia"/>
          <w:color w:val="auto"/>
          <w:szCs w:val="21"/>
          <w:highlight w:val="none"/>
          <w:u w:val="none"/>
        </w:rPr>
        <w:t>、托管人均</w:t>
      </w:r>
      <w:r>
        <w:rPr>
          <w:color w:val="auto"/>
          <w:szCs w:val="21"/>
          <w:highlight w:val="none"/>
          <w:u w:val="none"/>
        </w:rPr>
        <w:t>不保证</w:t>
      </w:r>
      <w:r>
        <w:rPr>
          <w:rFonts w:hint="eastAsia"/>
          <w:color w:val="auto"/>
          <w:szCs w:val="21"/>
          <w:highlight w:val="none"/>
          <w:u w:val="none"/>
        </w:rPr>
        <w:t>本私募基金投资人获得</w:t>
      </w:r>
      <w:r>
        <w:rPr>
          <w:color w:val="auto"/>
          <w:szCs w:val="21"/>
          <w:highlight w:val="none"/>
          <w:u w:val="none"/>
        </w:rPr>
        <w:t>最低收益或基金本金不受损失</w:t>
      </w:r>
      <w:r>
        <w:rPr>
          <w:rFonts w:hint="eastAsia"/>
          <w:color w:val="auto"/>
          <w:szCs w:val="21"/>
          <w:highlight w:val="none"/>
          <w:u w:val="none"/>
        </w:rPr>
        <w:t>，因此，本私募基金投资者面临无法按意愿获得收益甚至亏损本金的风险。</w:t>
      </w:r>
    </w:p>
    <w:p>
      <w:pPr>
        <w:pStyle w:val="81"/>
        <w:rPr>
          <w:rFonts w:ascii="楷体" w:hAnsi="楷体" w:eastAsia="楷体"/>
          <w:color w:val="auto"/>
          <w:szCs w:val="21"/>
          <w:highlight w:val="none"/>
          <w:u w:val="none"/>
        </w:rPr>
      </w:pPr>
      <w:r>
        <w:rPr>
          <w:rFonts w:hint="eastAsia"/>
          <w:color w:val="auto"/>
          <w:szCs w:val="21"/>
          <w:highlight w:val="none"/>
          <w:u w:val="none"/>
        </w:rPr>
        <w:t>本基金属于</w:t>
      </w:r>
      <w:r>
        <w:rPr>
          <w:rFonts w:hint="eastAsia"/>
          <w:b/>
          <w:color w:val="auto"/>
          <w:szCs w:val="21"/>
          <w:highlight w:val="none"/>
          <w:u w:val="none"/>
        </w:rPr>
        <w:t>高</w:t>
      </w:r>
      <w:r>
        <w:rPr>
          <w:rFonts w:hint="eastAsia"/>
          <w:color w:val="auto"/>
          <w:szCs w:val="21"/>
          <w:highlight w:val="none"/>
          <w:u w:val="none"/>
        </w:rPr>
        <w:t>风险投资品种，适合风险识别、评估、承受能力为</w:t>
      </w:r>
      <w:r>
        <w:rPr>
          <w:rFonts w:hint="eastAsia"/>
          <w:b/>
          <w:color w:val="auto"/>
          <w:szCs w:val="21"/>
          <w:highlight w:val="none"/>
          <w:u w:val="none"/>
        </w:rPr>
        <w:t>进取型</w:t>
      </w:r>
      <w:r>
        <w:rPr>
          <w:rFonts w:hint="eastAsia"/>
          <w:color w:val="auto"/>
          <w:szCs w:val="21"/>
          <w:highlight w:val="none"/>
          <w:u w:val="none"/>
        </w:rPr>
        <w:t>的合格投资者。</w:t>
      </w:r>
    </w:p>
    <w:p>
      <w:pPr>
        <w:pStyle w:val="81"/>
        <w:rPr>
          <w:rFonts w:ascii="楷体" w:hAnsi="楷体" w:eastAsia="楷体"/>
          <w:color w:val="auto"/>
          <w:szCs w:val="21"/>
          <w:highlight w:val="none"/>
          <w:u w:val="none"/>
        </w:rPr>
      </w:pPr>
      <w:r>
        <w:rPr>
          <w:color w:val="auto"/>
          <w:szCs w:val="21"/>
          <w:highlight w:val="none"/>
          <w:u w:val="none"/>
        </w:rPr>
        <w:t>(三)</w:t>
      </w:r>
      <w:r>
        <w:rPr>
          <w:rFonts w:hint="eastAsia"/>
          <w:color w:val="auto"/>
          <w:szCs w:val="21"/>
          <w:highlight w:val="none"/>
          <w:u w:val="none"/>
        </w:rPr>
        <w:t>预警止损机制的风险</w:t>
      </w:r>
    </w:p>
    <w:p>
      <w:pPr>
        <w:pStyle w:val="81"/>
        <w:rPr>
          <w:rFonts w:ascii="楷体" w:hAnsi="楷体" w:eastAsia="楷体"/>
          <w:color w:val="auto"/>
          <w:szCs w:val="21"/>
          <w:highlight w:val="none"/>
          <w:u w:val="none"/>
        </w:rPr>
      </w:pPr>
      <w:r>
        <w:rPr>
          <w:rFonts w:hint="eastAsia"/>
          <w:color w:val="auto"/>
          <w:szCs w:val="21"/>
          <w:highlight w:val="none"/>
          <w:u w:val="none"/>
        </w:rPr>
        <w:t>虽然本私募基金设计有预警止损机制，但由于证券卖出时间和价格的不确定性，私募基金可能不能及时止损，本私募基金终止时的份额净值有可能远低于止损线。</w:t>
      </w:r>
    </w:p>
    <w:p>
      <w:pPr>
        <w:pStyle w:val="81"/>
        <w:rPr>
          <w:rFonts w:ascii="楷体" w:hAnsi="楷体" w:eastAsia="楷体"/>
          <w:color w:val="auto"/>
          <w:szCs w:val="21"/>
          <w:highlight w:val="none"/>
          <w:u w:val="none"/>
        </w:rPr>
      </w:pPr>
      <w:r>
        <w:rPr>
          <w:color w:val="auto"/>
          <w:szCs w:val="21"/>
          <w:highlight w:val="none"/>
          <w:u w:val="none"/>
        </w:rPr>
        <w:t>(四)</w:t>
      </w:r>
      <w:r>
        <w:rPr>
          <w:rFonts w:hint="eastAsia"/>
          <w:color w:val="auto"/>
          <w:szCs w:val="21"/>
          <w:highlight w:val="none"/>
          <w:u w:val="none"/>
        </w:rPr>
        <w:t>关联交易风险</w:t>
      </w:r>
    </w:p>
    <w:p>
      <w:pPr>
        <w:pStyle w:val="81"/>
        <w:rPr>
          <w:rFonts w:ascii="楷体" w:hAnsi="楷体" w:eastAsia="楷体"/>
          <w:color w:val="auto"/>
          <w:szCs w:val="21"/>
          <w:highlight w:val="none"/>
          <w:u w:val="none"/>
        </w:rPr>
      </w:pPr>
      <w:r>
        <w:rPr>
          <w:rFonts w:hint="eastAsia"/>
          <w:color w:val="auto"/>
          <w:szCs w:val="21"/>
          <w:highlight w:val="none"/>
          <w:u w:val="none"/>
        </w:rPr>
        <w:t>本基金可能投资于由基金管理人或其关联方管理的产品或者与基金管理人或其关联方管理的其他产品或管理人自身进行交易，管理人确认其已建立防范利益输送和利益冲突的机制，确认该等交易安排合法合规、不存在利益输送等违法违规行为；但该等交易仍构成基金管理人与本基金的关联交易，存在利益冲突风险。</w:t>
      </w:r>
    </w:p>
    <w:p>
      <w:pPr>
        <w:pStyle w:val="81"/>
        <w:rPr>
          <w:color w:val="auto"/>
          <w:szCs w:val="21"/>
          <w:highlight w:val="none"/>
          <w:u w:val="none"/>
        </w:rPr>
      </w:pPr>
      <w:r>
        <w:rPr>
          <w:color w:val="auto"/>
          <w:szCs w:val="21"/>
          <w:highlight w:val="none"/>
          <w:u w:val="none"/>
        </w:rPr>
        <w:t>(五)</w:t>
      </w:r>
      <w:r>
        <w:rPr>
          <w:rFonts w:hint="eastAsia"/>
          <w:color w:val="auto"/>
          <w:szCs w:val="21"/>
          <w:highlight w:val="none"/>
          <w:u w:val="none"/>
        </w:rPr>
        <w:t>基金合同变更风险</w:t>
      </w:r>
    </w:p>
    <w:p>
      <w:pPr>
        <w:pStyle w:val="81"/>
        <w:rPr>
          <w:color w:val="auto"/>
          <w:szCs w:val="21"/>
          <w:highlight w:val="none"/>
          <w:u w:val="none"/>
        </w:rPr>
      </w:pPr>
      <w:r>
        <w:rPr>
          <w:rFonts w:hint="eastAsia"/>
          <w:color w:val="auto"/>
          <w:szCs w:val="21"/>
          <w:highlight w:val="none"/>
          <w:u w:val="none"/>
        </w:rPr>
        <w:t>管理人有可能按照本合同约定的程序和方式变更本合同条款，该等变更不一定与投资者意愿一致，投资者可能面临本合同条款变更的风险。</w:t>
      </w:r>
    </w:p>
    <w:p>
      <w:pPr>
        <w:pStyle w:val="81"/>
        <w:rPr>
          <w:color w:val="auto"/>
          <w:szCs w:val="21"/>
          <w:highlight w:val="none"/>
          <w:u w:val="none"/>
        </w:rPr>
      </w:pPr>
      <w:r>
        <w:rPr>
          <w:color w:val="auto"/>
          <w:szCs w:val="21"/>
          <w:highlight w:val="none"/>
          <w:u w:val="none"/>
        </w:rPr>
        <w:t>(六)</w:t>
      </w:r>
      <w:r>
        <w:rPr>
          <w:rFonts w:hint="eastAsia"/>
          <w:color w:val="auto"/>
          <w:szCs w:val="21"/>
          <w:highlight w:val="none"/>
          <w:u w:val="none"/>
        </w:rPr>
        <w:t>退出受限的风险</w:t>
      </w:r>
    </w:p>
    <w:p>
      <w:pPr>
        <w:pStyle w:val="81"/>
        <w:rPr>
          <w:color w:val="auto"/>
          <w:szCs w:val="21"/>
          <w:highlight w:val="none"/>
          <w:u w:val="none"/>
        </w:rPr>
      </w:pPr>
      <w:r>
        <w:rPr>
          <w:rFonts w:hint="eastAsia"/>
          <w:color w:val="auto"/>
          <w:szCs w:val="21"/>
          <w:highlight w:val="none"/>
          <w:u w:val="none"/>
        </w:rPr>
        <w:t>本基金除开放日</w:t>
      </w:r>
      <w:r>
        <w:rPr>
          <w:color w:val="auto"/>
          <w:szCs w:val="21"/>
          <w:highlight w:val="none"/>
          <w:u w:val="none"/>
        </w:rPr>
        <w:t>外的其他时间封闭运行，</w:t>
      </w:r>
      <w:r>
        <w:rPr>
          <w:rFonts w:hint="eastAsia"/>
          <w:color w:val="auto"/>
          <w:szCs w:val="21"/>
          <w:highlight w:val="none"/>
          <w:u w:val="none"/>
        </w:rPr>
        <w:t>不接受委托人的退出申请，委托人面临在投资期内无法按意愿退出的风险。</w:t>
      </w:r>
    </w:p>
    <w:p>
      <w:pPr>
        <w:numPr>
          <w:ilvl w:val="0"/>
          <w:numId w:val="0"/>
        </w:numPr>
        <w:autoSpaceDE w:val="0"/>
        <w:autoSpaceDN w:val="0"/>
        <w:spacing w:line="360" w:lineRule="auto"/>
        <w:ind w:left="0" w:firstLine="420"/>
        <w:rPr>
          <w:rFonts w:ascii="楷体" w:hAnsi="楷体" w:eastAsia="楷体"/>
          <w:color w:val="auto"/>
          <w:szCs w:val="21"/>
          <w:highlight w:val="none"/>
          <w:u w:val="none"/>
        </w:rPr>
      </w:pPr>
      <w:r>
        <w:rPr>
          <w:rFonts w:ascii="楷体" w:hAnsi="楷体" w:eastAsia="楷体"/>
          <w:color w:val="auto"/>
          <w:szCs w:val="21"/>
          <w:highlight w:val="none"/>
          <w:u w:val="none"/>
        </w:rPr>
        <w:t>(七)</w:t>
      </w:r>
      <w:r>
        <w:rPr>
          <w:rFonts w:hint="eastAsia" w:ascii="楷体" w:hAnsi="楷体" w:eastAsia="楷体"/>
          <w:color w:val="auto"/>
          <w:szCs w:val="21"/>
          <w:highlight w:val="none"/>
          <w:u w:val="none"/>
        </w:rPr>
        <w:t>基金</w:t>
      </w:r>
      <w:r>
        <w:rPr>
          <w:rFonts w:ascii="楷体" w:hAnsi="楷体" w:eastAsia="楷体"/>
          <w:color w:val="auto"/>
          <w:szCs w:val="21"/>
          <w:highlight w:val="none"/>
          <w:u w:val="none"/>
        </w:rPr>
        <w:t>存续期内不进行收益分配的风险</w:t>
      </w:r>
    </w:p>
    <w:p>
      <w:pPr>
        <w:pStyle w:val="81"/>
        <w:rPr>
          <w:rFonts w:ascii="楷体" w:hAnsi="楷体" w:eastAsia="楷体"/>
          <w:color w:val="auto"/>
          <w:szCs w:val="21"/>
          <w:highlight w:val="none"/>
          <w:u w:val="none"/>
        </w:rPr>
      </w:pPr>
      <w:r>
        <w:rPr>
          <w:rFonts w:hint="eastAsia"/>
          <w:color w:val="auto"/>
          <w:szCs w:val="21"/>
          <w:highlight w:val="none"/>
          <w:u w:val="none"/>
        </w:rPr>
        <w:t>本基金</w:t>
      </w:r>
      <w:r>
        <w:rPr>
          <w:color w:val="auto"/>
          <w:szCs w:val="21"/>
          <w:highlight w:val="none"/>
          <w:u w:val="none"/>
        </w:rPr>
        <w:t>存续期内</w:t>
      </w:r>
      <w:r>
        <w:rPr>
          <w:rFonts w:hint="eastAsia"/>
          <w:color w:val="auto"/>
          <w:szCs w:val="21"/>
          <w:highlight w:val="none"/>
          <w:u w:val="none"/>
        </w:rPr>
        <w:t>由管理人决定是否进行收益分配，</w:t>
      </w:r>
      <w:r>
        <w:rPr>
          <w:color w:val="auto"/>
          <w:szCs w:val="21"/>
          <w:highlight w:val="none"/>
          <w:u w:val="none"/>
        </w:rPr>
        <w:t>如管理人决定不进行收益分配，投资者只能</w:t>
      </w:r>
      <w:r>
        <w:rPr>
          <w:rFonts w:hint="eastAsia"/>
          <w:color w:val="auto"/>
          <w:szCs w:val="21"/>
          <w:highlight w:val="none"/>
          <w:u w:val="none"/>
        </w:rPr>
        <w:t>在赎回</w:t>
      </w:r>
      <w:r>
        <w:rPr>
          <w:color w:val="auto"/>
          <w:szCs w:val="21"/>
          <w:highlight w:val="none"/>
          <w:u w:val="none"/>
        </w:rPr>
        <w:t>基金份额时或基金合同终止时</w:t>
      </w:r>
      <w:r>
        <w:rPr>
          <w:rFonts w:hint="eastAsia"/>
          <w:color w:val="auto"/>
          <w:szCs w:val="21"/>
          <w:highlight w:val="none"/>
          <w:u w:val="none"/>
        </w:rPr>
        <w:t>取得</w:t>
      </w:r>
      <w:r>
        <w:rPr>
          <w:color w:val="auto"/>
          <w:szCs w:val="21"/>
          <w:highlight w:val="none"/>
          <w:u w:val="none"/>
        </w:rPr>
        <w:t>投资收益，面临一定的流动性风险；且若</w:t>
      </w:r>
      <w:r>
        <w:rPr>
          <w:rFonts w:hint="eastAsia"/>
          <w:color w:val="auto"/>
          <w:szCs w:val="21"/>
          <w:highlight w:val="none"/>
          <w:u w:val="none"/>
        </w:rPr>
        <w:t>存续期内</w:t>
      </w:r>
      <w:r>
        <w:rPr>
          <w:color w:val="auto"/>
          <w:szCs w:val="21"/>
          <w:highlight w:val="none"/>
          <w:u w:val="none"/>
        </w:rPr>
        <w:t>净值发生波动</w:t>
      </w:r>
      <w:r>
        <w:rPr>
          <w:rFonts w:hint="eastAsia"/>
          <w:color w:val="auto"/>
          <w:szCs w:val="21"/>
          <w:highlight w:val="none"/>
          <w:u w:val="none"/>
        </w:rPr>
        <w:t>或</w:t>
      </w:r>
      <w:r>
        <w:rPr>
          <w:color w:val="auto"/>
          <w:szCs w:val="21"/>
          <w:highlight w:val="none"/>
          <w:u w:val="none"/>
        </w:rPr>
        <w:t>出现亏损，投资者在基金</w:t>
      </w:r>
      <w:r>
        <w:rPr>
          <w:rFonts w:hint="eastAsia"/>
          <w:color w:val="auto"/>
          <w:szCs w:val="21"/>
          <w:highlight w:val="none"/>
          <w:u w:val="none"/>
        </w:rPr>
        <w:t>终止时</w:t>
      </w:r>
      <w:r>
        <w:rPr>
          <w:color w:val="auto"/>
          <w:szCs w:val="21"/>
          <w:highlight w:val="none"/>
          <w:u w:val="none"/>
        </w:rPr>
        <w:t>可能面临净值回撤甚至无法获得投资收益的风险。</w:t>
      </w:r>
    </w:p>
    <w:p>
      <w:pPr>
        <w:pStyle w:val="81"/>
        <w:rPr>
          <w:rFonts w:ascii="楷体" w:hAnsi="楷体" w:eastAsia="楷体"/>
          <w:color w:val="auto"/>
          <w:szCs w:val="21"/>
          <w:highlight w:val="none"/>
          <w:u w:val="none"/>
        </w:rPr>
      </w:pPr>
      <w:r>
        <w:rPr>
          <w:color w:val="auto"/>
          <w:szCs w:val="21"/>
          <w:highlight w:val="none"/>
          <w:u w:val="none"/>
        </w:rPr>
        <w:t>(八)基金募集失败风险</w:t>
      </w:r>
    </w:p>
    <w:p>
      <w:pPr>
        <w:pStyle w:val="81"/>
        <w:rPr>
          <w:rFonts w:ascii="楷体" w:hAnsi="楷体" w:eastAsia="楷体"/>
          <w:color w:val="auto"/>
          <w:szCs w:val="21"/>
          <w:highlight w:val="none"/>
          <w:u w:val="none"/>
        </w:rPr>
      </w:pPr>
      <w:r>
        <w:rPr>
          <w:color w:val="auto"/>
          <w:szCs w:val="21"/>
          <w:highlight w:val="none"/>
          <w:u w:val="none"/>
        </w:rPr>
        <w:t>如基金初始销售期间届满</w:t>
      </w:r>
      <w:r>
        <w:rPr>
          <w:rFonts w:hint="eastAsia"/>
          <w:color w:val="auto"/>
          <w:szCs w:val="21"/>
          <w:highlight w:val="none"/>
          <w:u w:val="none"/>
        </w:rPr>
        <w:t>，不</w:t>
      </w:r>
      <w:r>
        <w:rPr>
          <w:color w:val="auto"/>
          <w:szCs w:val="21"/>
          <w:highlight w:val="none"/>
          <w:u w:val="none"/>
        </w:rPr>
        <w:t>符合</w:t>
      </w:r>
      <w:r>
        <w:rPr>
          <w:rFonts w:hint="eastAsia"/>
          <w:color w:val="auto"/>
          <w:szCs w:val="21"/>
          <w:highlight w:val="none"/>
          <w:u w:val="none"/>
        </w:rPr>
        <w:t>本合同</w:t>
      </w:r>
      <w:r>
        <w:rPr>
          <w:color w:val="auto"/>
          <w:szCs w:val="21"/>
          <w:highlight w:val="none"/>
          <w:u w:val="none"/>
        </w:rPr>
        <w:t>约定的基金成立条件的，管理人将宣布基金募集失败</w:t>
      </w:r>
      <w:r>
        <w:rPr>
          <w:rFonts w:hint="eastAsia"/>
          <w:color w:val="auto"/>
          <w:szCs w:val="21"/>
          <w:highlight w:val="none"/>
          <w:u w:val="none"/>
        </w:rPr>
        <w:t>，</w:t>
      </w:r>
      <w:r>
        <w:rPr>
          <w:color w:val="auto"/>
          <w:szCs w:val="21"/>
          <w:highlight w:val="none"/>
          <w:u w:val="none"/>
        </w:rPr>
        <w:t>并向投资者返还其交付的认购资金及相应的利息</w:t>
      </w:r>
      <w:r>
        <w:rPr>
          <w:rFonts w:hint="eastAsia"/>
          <w:color w:val="auto"/>
          <w:szCs w:val="21"/>
          <w:highlight w:val="none"/>
          <w:u w:val="none"/>
        </w:rPr>
        <w:t>。</w:t>
      </w:r>
    </w:p>
    <w:p>
      <w:pPr>
        <w:pStyle w:val="81"/>
        <w:rPr>
          <w:rFonts w:ascii="楷体" w:hAnsi="楷体" w:eastAsia="楷体"/>
          <w:color w:val="auto"/>
          <w:szCs w:val="21"/>
          <w:highlight w:val="none"/>
          <w:u w:val="none"/>
        </w:rPr>
      </w:pPr>
      <w:r>
        <w:rPr>
          <w:color w:val="auto"/>
          <w:szCs w:val="21"/>
          <w:highlight w:val="none"/>
          <w:u w:val="none"/>
        </w:rPr>
        <w:t>(九)基金未</w:t>
      </w:r>
      <w:r>
        <w:rPr>
          <w:rFonts w:hint="eastAsia"/>
          <w:color w:val="auto"/>
          <w:szCs w:val="21"/>
          <w:highlight w:val="none"/>
          <w:u w:val="none"/>
        </w:rPr>
        <w:t>能</w:t>
      </w:r>
      <w:r>
        <w:rPr>
          <w:color w:val="auto"/>
          <w:szCs w:val="21"/>
          <w:highlight w:val="none"/>
          <w:u w:val="none"/>
        </w:rPr>
        <w:t>在基金业协会备案的风险</w:t>
      </w:r>
    </w:p>
    <w:p>
      <w:pPr>
        <w:pStyle w:val="81"/>
        <w:rPr>
          <w:rFonts w:ascii="楷体" w:hAnsi="楷体" w:eastAsia="楷体"/>
          <w:color w:val="auto"/>
          <w:szCs w:val="21"/>
          <w:highlight w:val="none"/>
          <w:u w:val="none"/>
        </w:rPr>
      </w:pPr>
      <w:r>
        <w:rPr>
          <w:rFonts w:hint="eastAsia"/>
          <w:color w:val="auto"/>
          <w:szCs w:val="21"/>
          <w:highlight w:val="none"/>
          <w:u w:val="none"/>
        </w:rPr>
        <w:t>本基金可能面临管理人在基金成立后未能完成在基金业协会备案手续或迟延完成备案手续，从而导致本基金无法投资或迟延投资，给投资者造成损失的风险。</w:t>
      </w:r>
    </w:p>
    <w:p>
      <w:pPr>
        <w:pStyle w:val="81"/>
        <w:rPr>
          <w:rFonts w:ascii="楷体" w:hAnsi="楷体" w:eastAsia="楷体"/>
          <w:color w:val="auto"/>
          <w:szCs w:val="21"/>
          <w:highlight w:val="none"/>
          <w:u w:val="none"/>
        </w:rPr>
      </w:pPr>
      <w:r>
        <w:rPr>
          <w:color w:val="auto"/>
          <w:szCs w:val="21"/>
          <w:highlight w:val="none"/>
          <w:u w:val="none"/>
        </w:rPr>
        <w:t>(十)</w:t>
      </w:r>
      <w:r>
        <w:rPr>
          <w:rFonts w:hint="eastAsia"/>
          <w:color w:val="auto"/>
          <w:szCs w:val="21"/>
          <w:highlight w:val="none"/>
          <w:u w:val="none"/>
        </w:rPr>
        <w:t>投资标的相关风险</w:t>
      </w:r>
    </w:p>
    <w:p>
      <w:pPr>
        <w:pStyle w:val="81"/>
        <w:rPr>
          <w:rFonts w:ascii="楷体" w:hAnsi="楷体" w:eastAsia="楷体"/>
          <w:color w:val="auto"/>
          <w:szCs w:val="21"/>
          <w:highlight w:val="none"/>
          <w:u w:val="none"/>
        </w:rPr>
      </w:pPr>
      <w:r>
        <w:rPr>
          <w:color w:val="auto"/>
          <w:szCs w:val="21"/>
          <w:highlight w:val="none"/>
          <w:u w:val="none"/>
        </w:rPr>
        <w:t>1.</w:t>
      </w:r>
      <w:r>
        <w:rPr>
          <w:rFonts w:hint="eastAsia"/>
          <w:color w:val="auto"/>
          <w:szCs w:val="21"/>
          <w:highlight w:val="none"/>
          <w:u w:val="none"/>
        </w:rPr>
        <w:t>投资于股票的风险包括但不限于：</w:t>
      </w:r>
    </w:p>
    <w:p>
      <w:pPr>
        <w:pStyle w:val="81"/>
        <w:rPr>
          <w:rFonts w:ascii="楷体" w:hAnsi="楷体" w:eastAsia="楷体"/>
          <w:color w:val="auto"/>
          <w:szCs w:val="21"/>
          <w:highlight w:val="none"/>
          <w:u w:val="none"/>
        </w:rPr>
      </w:pPr>
      <w:r>
        <w:rPr>
          <w:rFonts w:hint="eastAsia"/>
          <w:color w:val="auto"/>
          <w:szCs w:val="21"/>
          <w:highlight w:val="none"/>
          <w:u w:val="none"/>
        </w:rPr>
        <w:t>（</w:t>
      </w:r>
      <w:r>
        <w:rPr>
          <w:color w:val="auto"/>
          <w:szCs w:val="21"/>
          <w:highlight w:val="none"/>
          <w:u w:val="none"/>
        </w:rPr>
        <w:t>1）国家货币政策、财政政策、产业政策等的变化对证券市场产生一定的影响，导致市场价格水平波动的风险</w:t>
      </w:r>
      <w:r>
        <w:rPr>
          <w:rFonts w:hint="eastAsia"/>
          <w:color w:val="auto"/>
          <w:szCs w:val="21"/>
          <w:highlight w:val="none"/>
          <w:u w:val="none"/>
        </w:rPr>
        <w:t>；</w:t>
      </w:r>
    </w:p>
    <w:p>
      <w:pPr>
        <w:pStyle w:val="81"/>
        <w:rPr>
          <w:rFonts w:ascii="楷体" w:hAnsi="楷体" w:eastAsia="楷体"/>
          <w:color w:val="auto"/>
          <w:szCs w:val="21"/>
          <w:highlight w:val="none"/>
          <w:u w:val="none"/>
        </w:rPr>
      </w:pPr>
      <w:r>
        <w:rPr>
          <w:rFonts w:hint="eastAsia"/>
          <w:color w:val="auto"/>
          <w:szCs w:val="21"/>
          <w:highlight w:val="none"/>
          <w:u w:val="none"/>
        </w:rPr>
        <w:t>（</w:t>
      </w:r>
      <w:r>
        <w:rPr>
          <w:color w:val="auto"/>
          <w:szCs w:val="21"/>
          <w:highlight w:val="none"/>
          <w:u w:val="none"/>
        </w:rPr>
        <w:t>2）宏观经济运行周期性波动，对股票市场的收益水平产生影响的风险</w:t>
      </w:r>
      <w:r>
        <w:rPr>
          <w:rFonts w:hint="eastAsia"/>
          <w:color w:val="auto"/>
          <w:szCs w:val="21"/>
          <w:highlight w:val="none"/>
          <w:u w:val="none"/>
        </w:rPr>
        <w:t>；</w:t>
      </w:r>
    </w:p>
    <w:p>
      <w:pPr>
        <w:pStyle w:val="81"/>
        <w:rPr>
          <w:rFonts w:ascii="楷体" w:hAnsi="楷体" w:eastAsia="楷体"/>
          <w:color w:val="auto"/>
          <w:szCs w:val="21"/>
          <w:highlight w:val="none"/>
          <w:u w:val="none"/>
        </w:rPr>
      </w:pPr>
      <w:r>
        <w:rPr>
          <w:rFonts w:hint="eastAsia"/>
          <w:color w:val="auto"/>
          <w:szCs w:val="21"/>
          <w:highlight w:val="none"/>
          <w:u w:val="none"/>
        </w:rPr>
        <w:t>（</w:t>
      </w:r>
      <w:r>
        <w:rPr>
          <w:color w:val="auto"/>
          <w:szCs w:val="21"/>
          <w:highlight w:val="none"/>
          <w:u w:val="none"/>
        </w:rPr>
        <w:t>3）上市公司的经营状况受多种因素影响，如市场、技术、竞争、管理、财务等都会导致公司盈利发生变化，从而导致股票价格变动的风险</w:t>
      </w:r>
      <w:r>
        <w:rPr>
          <w:rFonts w:hint="eastAsia"/>
          <w:color w:val="auto"/>
          <w:szCs w:val="21"/>
          <w:highlight w:val="none"/>
          <w:u w:val="none"/>
        </w:rPr>
        <w:t>。</w:t>
      </w:r>
    </w:p>
    <w:p>
      <w:pPr>
        <w:pStyle w:val="81"/>
        <w:rPr>
          <w:rFonts w:ascii="楷体" w:hAnsi="楷体" w:eastAsia="楷体"/>
          <w:color w:val="auto"/>
          <w:szCs w:val="21"/>
          <w:highlight w:val="none"/>
          <w:u w:val="none"/>
        </w:rPr>
      </w:pPr>
      <w:r>
        <w:rPr>
          <w:color w:val="auto"/>
          <w:szCs w:val="21"/>
          <w:highlight w:val="none"/>
          <w:u w:val="none"/>
        </w:rPr>
        <w:t>2.</w:t>
      </w:r>
      <w:r>
        <w:rPr>
          <w:rFonts w:hint="eastAsia"/>
          <w:color w:val="auto"/>
          <w:szCs w:val="21"/>
          <w:highlight w:val="none"/>
          <w:u w:val="none"/>
        </w:rPr>
        <w:t>投资于港股通交易的风险</w:t>
      </w:r>
    </w:p>
    <w:p>
      <w:pPr>
        <w:pStyle w:val="81"/>
        <w:rPr>
          <w:rFonts w:ascii="楷体" w:hAnsi="楷体" w:eastAsia="楷体"/>
          <w:color w:val="auto"/>
          <w:szCs w:val="21"/>
          <w:highlight w:val="none"/>
          <w:u w:val="none"/>
        </w:rPr>
      </w:pPr>
      <w:r>
        <w:rPr>
          <w:rFonts w:hint="eastAsia"/>
          <w:color w:val="auto"/>
          <w:szCs w:val="21"/>
          <w:highlight w:val="none"/>
          <w:u w:val="none"/>
        </w:rPr>
        <w:t>因沪、深、港股票市场在投资环境、投资者结构以及交易标的等方面都存在一定差异，参与港股通交易可能面临如下风险：</w:t>
      </w:r>
    </w:p>
    <w:p>
      <w:pPr>
        <w:pStyle w:val="81"/>
        <w:rPr>
          <w:rFonts w:ascii="楷体" w:hAnsi="楷体" w:eastAsia="楷体"/>
          <w:color w:val="auto"/>
          <w:szCs w:val="21"/>
          <w:highlight w:val="none"/>
          <w:u w:val="none"/>
        </w:rPr>
      </w:pPr>
      <w:r>
        <w:rPr>
          <w:rFonts w:hint="eastAsia"/>
          <w:color w:val="auto"/>
          <w:szCs w:val="21"/>
          <w:highlight w:val="none"/>
          <w:u w:val="none"/>
        </w:rPr>
        <w:t>（1）市场联动风险：与内地</w:t>
      </w:r>
      <w:r>
        <w:rPr>
          <w:color w:val="auto"/>
          <w:szCs w:val="21"/>
          <w:highlight w:val="none"/>
          <w:u w:val="none"/>
        </w:rPr>
        <w:t>A</w:t>
      </w:r>
      <w:r>
        <w:rPr>
          <w:rFonts w:hint="eastAsia"/>
          <w:color w:val="auto"/>
          <w:szCs w:val="21"/>
          <w:highlight w:val="none"/>
          <w:u w:val="none"/>
        </w:rPr>
        <w:t>股市场相比，由于在港股市场上外汇资金自由流动，海外资金的流动与港股价格之间表现出高度相关性，因此，投资者在参与港股市场交易时受到全球宏观经济和货币政策变动导致的系统风险相对更大。</w:t>
      </w:r>
    </w:p>
    <w:p>
      <w:pPr>
        <w:pStyle w:val="81"/>
        <w:rPr>
          <w:rFonts w:ascii="楷体" w:hAnsi="楷体" w:eastAsia="楷体"/>
          <w:color w:val="auto"/>
          <w:szCs w:val="21"/>
          <w:highlight w:val="none"/>
          <w:u w:val="none"/>
        </w:rPr>
      </w:pPr>
      <w:r>
        <w:rPr>
          <w:rFonts w:hint="eastAsia"/>
          <w:color w:val="auto"/>
          <w:szCs w:val="21"/>
          <w:highlight w:val="none"/>
          <w:u w:val="none"/>
        </w:rPr>
        <w:t>（2）股价波动风险：由于港股市场实行</w:t>
      </w:r>
      <w:r>
        <w:rPr>
          <w:color w:val="auto"/>
          <w:szCs w:val="21"/>
          <w:highlight w:val="none"/>
          <w:u w:val="none"/>
        </w:rPr>
        <w:t>T+0</w:t>
      </w:r>
      <w:r>
        <w:rPr>
          <w:rFonts w:hint="eastAsia"/>
          <w:color w:val="auto"/>
          <w:szCs w:val="21"/>
          <w:highlight w:val="none"/>
          <w:u w:val="none"/>
        </w:rPr>
        <w:t>交易机制，而且不设涨跌幅限制，加之香港市场结构性产品和衍生品种类相对丰富，因此，港股通个股的股价受到意外事件驱动的影响而表现出股价波动的幅度相对</w:t>
      </w:r>
      <w:r>
        <w:rPr>
          <w:color w:val="auto"/>
          <w:szCs w:val="21"/>
          <w:highlight w:val="none"/>
          <w:u w:val="none"/>
        </w:rPr>
        <w:t>A</w:t>
      </w:r>
      <w:r>
        <w:rPr>
          <w:rFonts w:hint="eastAsia"/>
          <w:color w:val="auto"/>
          <w:szCs w:val="21"/>
          <w:highlight w:val="none"/>
          <w:u w:val="none"/>
        </w:rPr>
        <w:t>股更为剧烈，投资者持仓的风险相对较大。</w:t>
      </w:r>
    </w:p>
    <w:p>
      <w:pPr>
        <w:pStyle w:val="81"/>
        <w:rPr>
          <w:rFonts w:ascii="楷体" w:hAnsi="楷体" w:eastAsia="楷体"/>
          <w:color w:val="auto"/>
          <w:szCs w:val="21"/>
          <w:highlight w:val="none"/>
          <w:u w:val="none"/>
        </w:rPr>
      </w:pPr>
      <w:r>
        <w:rPr>
          <w:rFonts w:hint="eastAsia"/>
          <w:color w:val="auto"/>
          <w:szCs w:val="21"/>
          <w:highlight w:val="none"/>
          <w:u w:val="none"/>
        </w:rPr>
        <w:t>（3）汇率</w:t>
      </w:r>
      <w:r>
        <w:rPr>
          <w:color w:val="auto"/>
          <w:szCs w:val="21"/>
          <w:highlight w:val="none"/>
          <w:u w:val="none"/>
        </w:rPr>
        <w:t>风险：</w:t>
      </w:r>
      <w:r>
        <w:rPr>
          <w:rFonts w:hint="eastAsia"/>
          <w:color w:val="auto"/>
          <w:szCs w:val="21"/>
          <w:highlight w:val="none"/>
          <w:u w:val="none"/>
        </w:rPr>
        <w:t>本基金在交易时间内提交订单依据的港币买入参考汇率和卖出参考汇率，并不等于最终结算汇率。港股通交易日日终，中国证券登记结算有限责任公司（以下简称“中国结算”）进行净额换汇，将换汇成本按成交金额分摊至每笔交易，确定交易实际适用的结算汇率，可能存在港币汇率兑人民币波动的风险。</w:t>
      </w:r>
    </w:p>
    <w:p>
      <w:pPr>
        <w:pStyle w:val="81"/>
        <w:rPr>
          <w:color w:val="auto"/>
          <w:szCs w:val="21"/>
          <w:highlight w:val="none"/>
          <w:u w:val="none"/>
        </w:rPr>
      </w:pPr>
      <w:r>
        <w:rPr>
          <w:rFonts w:hint="eastAsia"/>
          <w:color w:val="auto"/>
          <w:szCs w:val="21"/>
          <w:highlight w:val="none"/>
          <w:u w:val="none"/>
        </w:rPr>
        <w:t>（4）个股流动性风险：本基金可以通过港股通买卖的股票存在一定的范围限制，且港股通股票名单会动态调整。对于被调出的港股通股票，自调整之日起，本基金将不得再行买入。</w:t>
      </w:r>
    </w:p>
    <w:p>
      <w:pPr>
        <w:pStyle w:val="81"/>
        <w:rPr>
          <w:color w:val="auto"/>
          <w:szCs w:val="21"/>
          <w:highlight w:val="none"/>
          <w:u w:val="none"/>
        </w:rPr>
      </w:pPr>
      <w:r>
        <w:rPr>
          <w:rFonts w:hint="eastAsia"/>
          <w:color w:val="auto"/>
          <w:szCs w:val="21"/>
          <w:highlight w:val="none"/>
          <w:u w:val="none"/>
        </w:rPr>
        <w:t>且不同于在内地市场中小市值股票的成交较为活跃，在香港市场，部分中小市值港股成交量则相对较少，流动较为缺乏。因此，若重仓持有此类股票，则可能因缺乏交易对手，进而面临小量抛盘即导致股价大幅下降的风险。</w:t>
      </w:r>
    </w:p>
    <w:p>
      <w:pPr>
        <w:pStyle w:val="81"/>
        <w:rPr>
          <w:rFonts w:ascii="楷体" w:hAnsi="楷体" w:eastAsia="楷体"/>
          <w:color w:val="auto"/>
          <w:szCs w:val="21"/>
          <w:highlight w:val="none"/>
          <w:u w:val="none"/>
        </w:rPr>
      </w:pPr>
      <w:r>
        <w:rPr>
          <w:rFonts w:hint="eastAsia"/>
          <w:color w:val="auto"/>
          <w:szCs w:val="21"/>
          <w:highlight w:val="none"/>
          <w:u w:val="none"/>
        </w:rPr>
        <w:t>（5）额度</w:t>
      </w:r>
      <w:r>
        <w:rPr>
          <w:color w:val="auto"/>
          <w:szCs w:val="21"/>
          <w:highlight w:val="none"/>
          <w:u w:val="none"/>
        </w:rPr>
        <w:t>限制风险：</w:t>
      </w:r>
      <w:r>
        <w:rPr>
          <w:rFonts w:hint="eastAsia"/>
          <w:color w:val="auto"/>
          <w:szCs w:val="21"/>
          <w:highlight w:val="none"/>
          <w:u w:val="none"/>
        </w:rPr>
        <w:t>港股通业务试点期间存在每日额度和总额度限制。总额度余额少于一个每日额度的，上交所证券交易服务公司自下一港股通交易日起停止接受买入申报，本集合计划将面临不能通过港股通进行买入交易的风险；在香港联合交易所有限公司（以下简称“联交所”）开市前阶段，当日额度使用完毕的，新增的买单申报将面临失败的风险；在联交所持续交易时段，当日额度使用完毕的，当日本基金将面临不能通过港股通进行买入交易的风险。</w:t>
      </w:r>
    </w:p>
    <w:p>
      <w:pPr>
        <w:pStyle w:val="81"/>
        <w:rPr>
          <w:rFonts w:ascii="楷体" w:hAnsi="楷体" w:eastAsia="楷体"/>
          <w:color w:val="auto"/>
          <w:szCs w:val="21"/>
          <w:highlight w:val="none"/>
          <w:u w:val="none"/>
        </w:rPr>
      </w:pPr>
      <w:r>
        <w:rPr>
          <w:rFonts w:hint="eastAsia"/>
          <w:color w:val="auto"/>
          <w:szCs w:val="21"/>
          <w:highlight w:val="none"/>
          <w:u w:val="none"/>
        </w:rPr>
        <w:t>（6）交易成本风险：参与港股投资，除因股票交易而发生的佣金、交易征费、交易费、交易系统费、印花税、过户费等税费，在不进行交易时也可能要继续缴纳证券组合费等项费用，从而导致交易成本上升。</w:t>
      </w:r>
    </w:p>
    <w:p>
      <w:pPr>
        <w:pStyle w:val="81"/>
        <w:rPr>
          <w:color w:val="auto"/>
          <w:szCs w:val="21"/>
          <w:highlight w:val="none"/>
          <w:u w:val="none"/>
        </w:rPr>
      </w:pPr>
      <w:r>
        <w:rPr>
          <w:color w:val="auto"/>
          <w:szCs w:val="21"/>
          <w:highlight w:val="none"/>
          <w:u w:val="none"/>
        </w:rPr>
        <w:t>3.</w:t>
      </w:r>
      <w:r>
        <w:rPr>
          <w:rFonts w:hint="eastAsia"/>
          <w:color w:val="auto"/>
          <w:szCs w:val="21"/>
          <w:highlight w:val="none"/>
          <w:u w:val="none"/>
        </w:rPr>
        <w:t>参与融资融券交易包括但不限于如下风险：</w:t>
      </w:r>
    </w:p>
    <w:p>
      <w:pPr>
        <w:pStyle w:val="81"/>
        <w:rPr>
          <w:rFonts w:ascii="楷体" w:hAnsi="楷体" w:eastAsia="楷体"/>
          <w:color w:val="auto"/>
          <w:szCs w:val="21"/>
          <w:highlight w:val="none"/>
          <w:u w:val="none"/>
        </w:rPr>
      </w:pPr>
      <w:r>
        <w:rPr>
          <w:rFonts w:hint="eastAsia"/>
          <w:color w:val="auto"/>
          <w:szCs w:val="21"/>
          <w:highlight w:val="none"/>
          <w:u w:val="none"/>
        </w:rPr>
        <w:t>融资融券投资具有证券类产品普通证券交易所具备的政策风险、市场风险、违约风险、证券公司业务资格合法性风险、系统风险等各种风险。同时，融资融券放大投资规模会给本私募基金资产带来比普通交易更大的风险。融资融券对各类风险的放大效应与负债比例相关，融资融券负债比例越大，私募基金资产面临的风险也相应越大。在从事融资融券交易期间，如果不能按照约定的期限清偿债务，或上市证券价格波动导致日终清算后维持担保比例低于警戒线，且不能按照《融资融券合同》约定的时间、数量追加担保物时，将面临担保物被证券公司强制平仓的风险，由此可能给私募基金造成损失。</w:t>
      </w:r>
    </w:p>
    <w:p>
      <w:pPr>
        <w:pStyle w:val="81"/>
        <w:rPr>
          <w:rFonts w:ascii="楷体" w:hAnsi="楷体" w:eastAsia="楷体"/>
          <w:color w:val="auto"/>
          <w:szCs w:val="21"/>
          <w:highlight w:val="none"/>
          <w:u w:val="none"/>
        </w:rPr>
      </w:pPr>
      <w:r>
        <w:rPr>
          <w:color w:val="auto"/>
          <w:szCs w:val="21"/>
          <w:highlight w:val="none"/>
          <w:u w:val="none"/>
        </w:rPr>
        <w:t>(十一)</w:t>
      </w:r>
      <w:r>
        <w:rPr>
          <w:rFonts w:hint="eastAsia"/>
          <w:color w:val="auto"/>
          <w:szCs w:val="21"/>
          <w:highlight w:val="none"/>
          <w:u w:val="none"/>
        </w:rPr>
        <w:t>法律</w:t>
      </w:r>
      <w:r>
        <w:rPr>
          <w:color w:val="auto"/>
          <w:szCs w:val="21"/>
          <w:highlight w:val="none"/>
          <w:u w:val="none"/>
        </w:rPr>
        <w:t>和</w:t>
      </w:r>
      <w:r>
        <w:rPr>
          <w:rFonts w:hint="eastAsia"/>
          <w:color w:val="auto"/>
          <w:szCs w:val="21"/>
          <w:highlight w:val="none"/>
          <w:u w:val="none"/>
        </w:rPr>
        <w:t>政策风险</w:t>
      </w:r>
    </w:p>
    <w:p>
      <w:pPr>
        <w:pStyle w:val="81"/>
        <w:rPr>
          <w:rFonts w:ascii="楷体" w:hAnsi="楷体" w:eastAsia="楷体"/>
          <w:color w:val="auto"/>
          <w:szCs w:val="21"/>
          <w:highlight w:val="none"/>
          <w:u w:val="none"/>
        </w:rPr>
      </w:pPr>
      <w:r>
        <w:rPr>
          <w:color w:val="auto"/>
          <w:szCs w:val="21"/>
          <w:highlight w:val="none"/>
          <w:u w:val="none"/>
        </w:rPr>
        <w:t>1.在本基金存续期限内，国家法律法规的变化，货币政策、财政政策、产业政策的调整，以及政府对金融市场、市场宏观调控和监管政策的调整，都可能影响基金财产安全及收益。</w:t>
      </w:r>
    </w:p>
    <w:p>
      <w:pPr>
        <w:pStyle w:val="81"/>
        <w:rPr>
          <w:rFonts w:ascii="楷体" w:hAnsi="楷体" w:eastAsia="楷体"/>
          <w:color w:val="auto"/>
          <w:szCs w:val="21"/>
          <w:highlight w:val="none"/>
          <w:u w:val="none"/>
        </w:rPr>
      </w:pPr>
      <w:r>
        <w:rPr>
          <w:color w:val="auto"/>
          <w:szCs w:val="21"/>
          <w:highlight w:val="none"/>
          <w:u w:val="none"/>
        </w:rPr>
        <w:t>2.本基金可能因法律法规、监管政策及监管机关禁止或限制本基金项下财产管理运用方式等原因无法成立或运作。</w:t>
      </w:r>
    </w:p>
    <w:p>
      <w:pPr>
        <w:pStyle w:val="81"/>
        <w:rPr>
          <w:rFonts w:ascii="楷体" w:hAnsi="楷体" w:eastAsia="楷体"/>
          <w:color w:val="auto"/>
          <w:szCs w:val="21"/>
          <w:highlight w:val="none"/>
          <w:u w:val="none"/>
        </w:rPr>
      </w:pPr>
      <w:r>
        <w:rPr>
          <w:color w:val="auto"/>
          <w:szCs w:val="21"/>
          <w:highlight w:val="none"/>
          <w:u w:val="none"/>
        </w:rPr>
        <w:t>3.目前尚未出台要求私募基金管理人为自然人基金份额持有人代扣代缴个人所得税的规定，但不排除将来有关部门要求管理人为自然人基金份额持有人代扣代缴个人所得税的可能性。如果税收政策发生变化，本基金份额持有人可能面临缴纳额外税负的风险。</w:t>
      </w:r>
    </w:p>
    <w:p>
      <w:pPr>
        <w:pStyle w:val="81"/>
        <w:rPr>
          <w:rFonts w:ascii="楷体" w:hAnsi="楷体" w:eastAsia="楷体"/>
          <w:color w:val="auto"/>
          <w:szCs w:val="21"/>
          <w:highlight w:val="none"/>
          <w:u w:val="none"/>
        </w:rPr>
      </w:pPr>
      <w:r>
        <w:rPr>
          <w:color w:val="auto"/>
          <w:szCs w:val="21"/>
          <w:highlight w:val="none"/>
          <w:u w:val="none"/>
        </w:rPr>
        <w:t>(十二)市场风险</w:t>
      </w:r>
    </w:p>
    <w:p>
      <w:pPr>
        <w:pStyle w:val="81"/>
        <w:rPr>
          <w:rFonts w:ascii="楷体" w:hAnsi="楷体" w:eastAsia="楷体"/>
          <w:color w:val="auto"/>
          <w:szCs w:val="21"/>
          <w:highlight w:val="none"/>
          <w:u w:val="none"/>
        </w:rPr>
      </w:pPr>
      <w:r>
        <w:rPr>
          <w:color w:val="auto"/>
          <w:szCs w:val="21"/>
          <w:highlight w:val="none"/>
          <w:u w:val="none"/>
        </w:rPr>
        <w:t>经济运行具有周期性的特点，宏观经济运行状况和金融市场利率的波动以及市场的波动等，均可能影响本基金收益的实现，从而增加基金投资的风险。</w:t>
      </w:r>
    </w:p>
    <w:p>
      <w:pPr>
        <w:pStyle w:val="81"/>
        <w:rPr>
          <w:rFonts w:ascii="楷体" w:hAnsi="楷体" w:eastAsia="楷体"/>
          <w:color w:val="auto"/>
          <w:szCs w:val="21"/>
          <w:highlight w:val="none"/>
          <w:u w:val="none"/>
        </w:rPr>
      </w:pPr>
      <w:r>
        <w:rPr>
          <w:color w:val="auto"/>
          <w:szCs w:val="21"/>
          <w:highlight w:val="none"/>
          <w:u w:val="none"/>
        </w:rPr>
        <w:t>(十三)购买力风险</w:t>
      </w:r>
    </w:p>
    <w:p>
      <w:pPr>
        <w:pStyle w:val="81"/>
        <w:rPr>
          <w:rFonts w:ascii="楷体" w:hAnsi="楷体" w:eastAsia="楷体"/>
          <w:color w:val="auto"/>
          <w:szCs w:val="21"/>
          <w:highlight w:val="none"/>
          <w:u w:val="none"/>
        </w:rPr>
      </w:pPr>
      <w:r>
        <w:rPr>
          <w:color w:val="auto"/>
          <w:szCs w:val="21"/>
          <w:highlight w:val="none"/>
          <w:u w:val="none"/>
        </w:rPr>
        <w:t>基金财产通过现金形式来分配，而现金可能因为通货膨胀的影响而导致购买力下降，从而使投资者的实际收益下降。</w:t>
      </w:r>
    </w:p>
    <w:p>
      <w:pPr>
        <w:pStyle w:val="81"/>
        <w:rPr>
          <w:rFonts w:ascii="楷体" w:hAnsi="楷体" w:eastAsia="楷体"/>
          <w:color w:val="auto"/>
          <w:szCs w:val="21"/>
          <w:highlight w:val="none"/>
          <w:u w:val="none"/>
        </w:rPr>
      </w:pPr>
      <w:r>
        <w:rPr>
          <w:color w:val="auto"/>
          <w:szCs w:val="21"/>
          <w:highlight w:val="none"/>
          <w:u w:val="none"/>
        </w:rPr>
        <w:t>(十四)流动性风险</w:t>
      </w:r>
    </w:p>
    <w:p>
      <w:pPr>
        <w:pStyle w:val="81"/>
        <w:rPr>
          <w:rFonts w:ascii="楷体" w:hAnsi="楷体" w:eastAsia="楷体"/>
          <w:color w:val="auto"/>
          <w:szCs w:val="21"/>
          <w:highlight w:val="none"/>
          <w:u w:val="none"/>
        </w:rPr>
      </w:pPr>
      <w:r>
        <w:rPr>
          <w:color w:val="auto"/>
          <w:szCs w:val="21"/>
          <w:highlight w:val="none"/>
          <w:u w:val="none"/>
        </w:rPr>
        <w:t>在市场或本基金所投资项目流动性不足的情况下</w:t>
      </w:r>
      <w:r>
        <w:rPr>
          <w:rFonts w:hint="eastAsia"/>
          <w:color w:val="auto"/>
          <w:szCs w:val="21"/>
          <w:highlight w:val="none"/>
          <w:u w:val="none"/>
        </w:rPr>
        <w:t>，</w:t>
      </w:r>
      <w:r>
        <w:rPr>
          <w:color w:val="auto"/>
          <w:szCs w:val="21"/>
          <w:highlight w:val="none"/>
          <w:u w:val="none"/>
        </w:rPr>
        <w:t>管理人可能无法</w:t>
      </w:r>
      <w:r>
        <w:rPr>
          <w:rFonts w:hint="eastAsia"/>
          <w:color w:val="auto"/>
          <w:szCs w:val="21"/>
          <w:highlight w:val="none"/>
          <w:u w:val="none"/>
        </w:rPr>
        <w:t>如期</w:t>
      </w:r>
      <w:r>
        <w:rPr>
          <w:color w:val="auto"/>
          <w:szCs w:val="21"/>
          <w:highlight w:val="none"/>
          <w:u w:val="none"/>
        </w:rPr>
        <w:t>足额收回投资并对投资者进行分配</w:t>
      </w:r>
      <w:r>
        <w:rPr>
          <w:rFonts w:hint="eastAsia"/>
          <w:color w:val="auto"/>
          <w:szCs w:val="21"/>
          <w:highlight w:val="none"/>
          <w:u w:val="none"/>
        </w:rPr>
        <w:t>，</w:t>
      </w:r>
      <w:r>
        <w:rPr>
          <w:color w:val="auto"/>
          <w:szCs w:val="21"/>
          <w:highlight w:val="none"/>
          <w:u w:val="none"/>
        </w:rPr>
        <w:t>从而可能导致投资者遭受损失。</w:t>
      </w:r>
    </w:p>
    <w:p>
      <w:pPr>
        <w:pStyle w:val="81"/>
        <w:rPr>
          <w:color w:val="auto"/>
          <w:szCs w:val="21"/>
          <w:highlight w:val="none"/>
          <w:u w:val="none"/>
        </w:rPr>
      </w:pPr>
      <w:r>
        <w:rPr>
          <w:color w:val="auto"/>
          <w:szCs w:val="21"/>
          <w:highlight w:val="none"/>
          <w:u w:val="none"/>
        </w:rPr>
        <w:t>(十五)收益率波动风险</w:t>
      </w:r>
    </w:p>
    <w:p>
      <w:pPr>
        <w:pStyle w:val="81"/>
        <w:rPr>
          <w:color w:val="auto"/>
          <w:szCs w:val="21"/>
          <w:highlight w:val="none"/>
          <w:u w:val="none"/>
        </w:rPr>
      </w:pPr>
      <w:r>
        <w:rPr>
          <w:color w:val="auto"/>
          <w:szCs w:val="21"/>
          <w:highlight w:val="none"/>
          <w:u w:val="none"/>
        </w:rPr>
        <w:t>本基金财产投资收益受多项因素影响，既有盈利的预期，亦存在亏损的可能。而且，如基金到期时，资产尚未变现，亦无法进行现金清算分配。根据相关法律法规规定，管理人不保证本基金一定盈利，也不保证最低收益。</w:t>
      </w:r>
    </w:p>
    <w:p>
      <w:pPr>
        <w:pStyle w:val="81"/>
        <w:rPr>
          <w:color w:val="auto"/>
          <w:szCs w:val="21"/>
          <w:highlight w:val="none"/>
          <w:u w:val="none"/>
        </w:rPr>
      </w:pPr>
      <w:r>
        <w:rPr>
          <w:color w:val="auto"/>
          <w:szCs w:val="21"/>
          <w:highlight w:val="none"/>
          <w:u w:val="none"/>
        </w:rPr>
        <w:t>(十六)信用风险</w:t>
      </w:r>
    </w:p>
    <w:p>
      <w:pPr>
        <w:pStyle w:val="81"/>
        <w:rPr>
          <w:rFonts w:ascii="楷体" w:hAnsi="楷体" w:eastAsia="楷体"/>
          <w:color w:val="auto"/>
          <w:szCs w:val="21"/>
          <w:highlight w:val="none"/>
          <w:u w:val="none"/>
        </w:rPr>
      </w:pPr>
      <w:r>
        <w:rPr>
          <w:color w:val="auto"/>
          <w:szCs w:val="21"/>
          <w:highlight w:val="none"/>
          <w:u w:val="none"/>
        </w:rPr>
        <w:t>本基金收益的实现须依赖于相关当事方签订的各交易文件的正常履行。其间牵涉的合同当事人较多，任一当事人因任何原因不履行其与管理人签订的相关协议项下的义务、保证和责任时，均可能导致本基金财产遭受损失。管理人和托管人并不保证各合同当事人能够完全履行相关协议或遵守相关法规，也不保证投资者将不因任一方之违约而减少收益。</w:t>
      </w:r>
    </w:p>
    <w:p>
      <w:pPr>
        <w:pStyle w:val="81"/>
        <w:rPr>
          <w:rFonts w:ascii="楷体" w:hAnsi="楷体" w:eastAsia="楷体"/>
          <w:color w:val="auto"/>
          <w:szCs w:val="21"/>
          <w:highlight w:val="none"/>
          <w:u w:val="none"/>
        </w:rPr>
      </w:pPr>
      <w:r>
        <w:rPr>
          <w:color w:val="auto"/>
          <w:szCs w:val="21"/>
          <w:highlight w:val="none"/>
          <w:u w:val="none"/>
        </w:rPr>
        <w:t>(十七)管理风险</w:t>
      </w:r>
    </w:p>
    <w:p>
      <w:pPr>
        <w:pStyle w:val="81"/>
        <w:rPr>
          <w:rFonts w:ascii="楷体" w:hAnsi="楷体" w:eastAsia="楷体"/>
          <w:color w:val="auto"/>
          <w:szCs w:val="21"/>
          <w:highlight w:val="none"/>
          <w:u w:val="none"/>
        </w:rPr>
      </w:pPr>
      <w:r>
        <w:rPr>
          <w:color w:val="auto"/>
          <w:szCs w:val="21"/>
          <w:highlight w:val="none"/>
          <w:u w:val="none"/>
        </w:rPr>
        <w:t>在基金财产管理运作过程中，管理人的研究水平、投资管理水平直接影响基金财产收益水平，如果管理人对经济形势和投资范围判断不准确、获取的信息不全、投资操作出现失误，都会影响基金财产的收益水平。</w:t>
      </w:r>
    </w:p>
    <w:p>
      <w:pPr>
        <w:pStyle w:val="81"/>
        <w:rPr>
          <w:color w:val="auto"/>
          <w:szCs w:val="21"/>
          <w:highlight w:val="none"/>
          <w:u w:val="none"/>
        </w:rPr>
      </w:pPr>
      <w:r>
        <w:rPr>
          <w:color w:val="auto"/>
          <w:szCs w:val="21"/>
          <w:highlight w:val="none"/>
          <w:u w:val="none"/>
        </w:rPr>
        <w:t>(十八)托管风险</w:t>
      </w:r>
    </w:p>
    <w:p>
      <w:pPr>
        <w:pStyle w:val="81"/>
        <w:rPr>
          <w:color w:val="auto"/>
          <w:szCs w:val="21"/>
          <w:highlight w:val="none"/>
          <w:u w:val="none"/>
        </w:rPr>
      </w:pPr>
      <w:r>
        <w:rPr>
          <w:color w:val="auto"/>
          <w:szCs w:val="21"/>
          <w:highlight w:val="none"/>
          <w:u w:val="none"/>
        </w:rPr>
        <w:t>如托管人未按照法律法规规定或基金合同约定履行托管职责，可能导致本基金财产遭受损失。</w:t>
      </w:r>
    </w:p>
    <w:p>
      <w:pPr>
        <w:pStyle w:val="81"/>
        <w:rPr>
          <w:color w:val="auto"/>
          <w:szCs w:val="21"/>
          <w:highlight w:val="none"/>
          <w:u w:val="none"/>
        </w:rPr>
      </w:pPr>
      <w:r>
        <w:rPr>
          <w:color w:val="auto"/>
          <w:szCs w:val="21"/>
          <w:highlight w:val="none"/>
          <w:u w:val="none"/>
        </w:rPr>
        <w:t>(十九)</w:t>
      </w:r>
      <w:r>
        <w:rPr>
          <w:rFonts w:hint="eastAsia"/>
          <w:color w:val="auto"/>
          <w:szCs w:val="21"/>
          <w:highlight w:val="none"/>
          <w:u w:val="none"/>
        </w:rPr>
        <w:t>基金委托募集所涉风险</w:t>
      </w:r>
    </w:p>
    <w:p>
      <w:pPr>
        <w:pStyle w:val="81"/>
        <w:rPr>
          <w:rFonts w:ascii="楷体" w:hAnsi="楷体" w:eastAsia="楷体"/>
          <w:color w:val="auto"/>
          <w:szCs w:val="21"/>
          <w:highlight w:val="none"/>
          <w:u w:val="none"/>
        </w:rPr>
      </w:pPr>
      <w:r>
        <w:rPr>
          <w:rFonts w:hint="eastAsia"/>
          <w:color w:val="auto"/>
          <w:szCs w:val="21"/>
          <w:highlight w:val="none"/>
          <w:u w:val="none"/>
        </w:rPr>
        <w:t>本基金委托代销机构募集资金的，代销</w:t>
      </w:r>
      <w:r>
        <w:rPr>
          <w:color w:val="auto"/>
          <w:szCs w:val="21"/>
          <w:highlight w:val="none"/>
          <w:u w:val="none"/>
        </w:rPr>
        <w:t>机</w:t>
      </w:r>
      <w:r>
        <w:rPr>
          <w:rFonts w:hint="eastAsia"/>
          <w:color w:val="auto"/>
          <w:szCs w:val="21"/>
          <w:highlight w:val="none"/>
          <w:u w:val="none"/>
        </w:rPr>
        <w:t>构应当恪尽职守、诚实信用、谨慎勤勉地履行说明义务、反洗钱义务、承担特定对象确定、投资者适当性审查、私募基金推介及合格投资者确认等相关责任以及基金销售协议中约定的其他义务。如销售机构未能完全履行该等义务，将影响基金募集环节的合规有序开展，从而可能会导致本基金以及基金投资者受到一定损失。若基金销售机构的销售系统出现故障或基金销售人员存在操作失误，也可能对本基金以及基金投资者造成不利影响。</w:t>
      </w:r>
    </w:p>
    <w:p>
      <w:pPr>
        <w:pStyle w:val="81"/>
        <w:rPr>
          <w:rFonts w:ascii="楷体" w:hAnsi="楷体" w:eastAsia="楷体"/>
          <w:color w:val="auto"/>
          <w:szCs w:val="21"/>
          <w:highlight w:val="none"/>
          <w:u w:val="none"/>
        </w:rPr>
      </w:pPr>
      <w:r>
        <w:rPr>
          <w:color w:val="auto"/>
          <w:szCs w:val="21"/>
          <w:highlight w:val="none"/>
          <w:u w:val="none"/>
        </w:rPr>
        <w:t>(二十)</w:t>
      </w:r>
      <w:r>
        <w:rPr>
          <w:rFonts w:hint="eastAsia"/>
          <w:color w:val="auto"/>
          <w:szCs w:val="21"/>
          <w:highlight w:val="none"/>
          <w:u w:val="none"/>
        </w:rPr>
        <w:t>外包服务事项所涉风险</w:t>
      </w:r>
    </w:p>
    <w:p>
      <w:pPr>
        <w:pStyle w:val="81"/>
        <w:rPr>
          <w:rFonts w:ascii="楷体" w:hAnsi="楷体" w:eastAsia="楷体"/>
          <w:color w:val="auto"/>
          <w:szCs w:val="21"/>
          <w:highlight w:val="none"/>
          <w:u w:val="none"/>
        </w:rPr>
      </w:pPr>
      <w:r>
        <w:rPr>
          <w:rFonts w:hint="eastAsia"/>
          <w:color w:val="auto"/>
          <w:szCs w:val="21"/>
          <w:highlight w:val="none"/>
          <w:u w:val="none"/>
        </w:rPr>
        <w:t>如外包服务机构未按照法律法规规定或外包服务协议约定履行外包服务职责，可能导致本基金财产遭受损失。</w:t>
      </w:r>
    </w:p>
    <w:p>
      <w:pPr>
        <w:pStyle w:val="81"/>
        <w:rPr>
          <w:rFonts w:ascii="楷体" w:hAnsi="楷体" w:eastAsia="楷体"/>
          <w:color w:val="auto"/>
          <w:szCs w:val="21"/>
          <w:highlight w:val="none"/>
          <w:u w:val="none"/>
        </w:rPr>
      </w:pPr>
      <w:r>
        <w:rPr>
          <w:color w:val="auto"/>
          <w:szCs w:val="21"/>
          <w:highlight w:val="none"/>
          <w:u w:val="none"/>
        </w:rPr>
        <w:t>(二十一)</w:t>
      </w:r>
      <w:r>
        <w:rPr>
          <w:rFonts w:hint="eastAsia"/>
          <w:color w:val="auto"/>
          <w:szCs w:val="21"/>
          <w:highlight w:val="none"/>
          <w:u w:val="none"/>
        </w:rPr>
        <w:t>由同一机构提供外包服务和托管服务的风险</w:t>
      </w:r>
    </w:p>
    <w:p>
      <w:pPr>
        <w:pStyle w:val="81"/>
        <w:rPr>
          <w:rFonts w:ascii="楷体" w:hAnsi="楷体" w:eastAsia="楷体"/>
          <w:color w:val="auto"/>
          <w:szCs w:val="21"/>
          <w:highlight w:val="none"/>
          <w:u w:val="none"/>
        </w:rPr>
      </w:pPr>
      <w:r>
        <w:rPr>
          <w:rFonts w:hint="eastAsia"/>
          <w:color w:val="auto"/>
          <w:szCs w:val="21"/>
          <w:highlight w:val="none"/>
          <w:u w:val="none"/>
        </w:rPr>
        <w:t>本基金由国信证券股份有限公司担任托管人，同时管理人聘请国信证券股份有限公司为其就本基金提供募集账户监督、份额注册登记、估值核算相关基金服务。国信证券股份有限公司在同时提供上述服务的情况下，存在一定的利益冲突风险。</w:t>
      </w:r>
    </w:p>
    <w:p>
      <w:pPr>
        <w:pStyle w:val="81"/>
        <w:rPr>
          <w:rFonts w:ascii="楷体" w:hAnsi="楷体" w:eastAsia="楷体"/>
          <w:color w:val="auto"/>
          <w:szCs w:val="21"/>
          <w:highlight w:val="none"/>
          <w:u w:val="none"/>
        </w:rPr>
      </w:pPr>
      <w:r>
        <w:rPr>
          <w:color w:val="auto"/>
          <w:szCs w:val="21"/>
          <w:highlight w:val="none"/>
          <w:u w:val="none"/>
        </w:rPr>
        <w:t>(二十二)操作或技术风险</w:t>
      </w:r>
    </w:p>
    <w:p>
      <w:pPr>
        <w:pStyle w:val="81"/>
        <w:rPr>
          <w:rFonts w:ascii="楷体" w:hAnsi="楷体" w:eastAsia="楷体"/>
          <w:color w:val="auto"/>
          <w:szCs w:val="21"/>
          <w:highlight w:val="none"/>
          <w:u w:val="none"/>
        </w:rPr>
      </w:pPr>
      <w:r>
        <w:rPr>
          <w:color w:val="auto"/>
          <w:szCs w:val="21"/>
          <w:highlight w:val="none"/>
          <w:u w:val="none"/>
        </w:rPr>
        <w:t>相关当事人在业务各环节操作过程中，因内部控制存在缺陷或者人为因素造成操作失误或违反操作规程等引致的风险，例如，越权违规交易、会计部门欺诈、交易错误等风险。</w:t>
      </w:r>
    </w:p>
    <w:p>
      <w:pPr>
        <w:pStyle w:val="81"/>
        <w:rPr>
          <w:rFonts w:ascii="楷体" w:hAnsi="楷体" w:eastAsia="楷体"/>
          <w:color w:val="auto"/>
          <w:szCs w:val="21"/>
          <w:highlight w:val="none"/>
          <w:u w:val="none"/>
        </w:rPr>
      </w:pPr>
      <w:r>
        <w:rPr>
          <w:color w:val="auto"/>
          <w:szCs w:val="21"/>
          <w:highlight w:val="none"/>
          <w:u w:val="none"/>
        </w:rPr>
        <w:t>在本基金的各种交易行为或者后台运作中，可能因为技术系统的故障或者差错而影响交易的正常进行或者导致基金投资者的利益受到影响，例如IT系统故障等风险。这种技术风险可能来自管理人、注册登记机构、募集机构、</w:t>
      </w:r>
      <w:r>
        <w:rPr>
          <w:rFonts w:hint="eastAsia"/>
          <w:color w:val="auto"/>
          <w:szCs w:val="21"/>
          <w:highlight w:val="none"/>
          <w:u w:val="none"/>
        </w:rPr>
        <w:t>外包服务机构、</w:t>
      </w:r>
      <w:r>
        <w:rPr>
          <w:color w:val="auto"/>
          <w:szCs w:val="21"/>
          <w:highlight w:val="none"/>
          <w:u w:val="none"/>
        </w:rPr>
        <w:t>托管人等。</w:t>
      </w:r>
    </w:p>
    <w:p>
      <w:pPr>
        <w:pStyle w:val="81"/>
        <w:rPr>
          <w:rFonts w:ascii="楷体" w:hAnsi="楷体" w:eastAsia="楷体"/>
          <w:color w:val="auto"/>
          <w:szCs w:val="21"/>
          <w:highlight w:val="none"/>
          <w:u w:val="none"/>
        </w:rPr>
      </w:pPr>
      <w:r>
        <w:rPr>
          <w:color w:val="auto"/>
          <w:szCs w:val="21"/>
          <w:highlight w:val="none"/>
          <w:u w:val="none"/>
        </w:rPr>
        <w:t>(二十三)管理人/托管人不能继续履行职责的风险</w:t>
      </w:r>
    </w:p>
    <w:p>
      <w:pPr>
        <w:pStyle w:val="81"/>
        <w:rPr>
          <w:rFonts w:ascii="楷体" w:hAnsi="楷体" w:eastAsia="楷体"/>
          <w:color w:val="auto"/>
          <w:szCs w:val="21"/>
          <w:highlight w:val="none"/>
          <w:u w:val="none"/>
        </w:rPr>
      </w:pPr>
      <w:r>
        <w:rPr>
          <w:color w:val="auto"/>
          <w:szCs w:val="21"/>
          <w:highlight w:val="none"/>
          <w:u w:val="none"/>
        </w:rPr>
        <w:t>如在基金存续期间管理人/托管人因停业、解散、撤销、破产，或者被监管部门撤销相关业务许可而不能继续履行基金合同项下的职责，可能会对基金产生不利影响。</w:t>
      </w:r>
    </w:p>
    <w:p>
      <w:pPr>
        <w:pStyle w:val="81"/>
        <w:rPr>
          <w:rFonts w:ascii="楷体" w:hAnsi="楷体" w:eastAsia="楷体"/>
          <w:color w:val="auto"/>
          <w:szCs w:val="21"/>
          <w:highlight w:val="none"/>
          <w:u w:val="none"/>
        </w:rPr>
      </w:pPr>
      <w:r>
        <w:rPr>
          <w:color w:val="auto"/>
          <w:szCs w:val="21"/>
          <w:highlight w:val="none"/>
          <w:u w:val="none"/>
        </w:rPr>
        <w:t>(二十四)</w:t>
      </w:r>
      <w:r>
        <w:rPr>
          <w:rFonts w:hint="eastAsia"/>
          <w:color w:val="auto"/>
          <w:szCs w:val="21"/>
          <w:highlight w:val="none"/>
          <w:u w:val="none"/>
        </w:rPr>
        <w:t>税收风险</w:t>
      </w:r>
    </w:p>
    <w:p>
      <w:pPr>
        <w:pStyle w:val="81"/>
        <w:rPr>
          <w:rFonts w:ascii="楷体" w:hAnsi="楷体" w:eastAsia="楷体"/>
          <w:color w:val="auto"/>
          <w:szCs w:val="21"/>
          <w:highlight w:val="none"/>
          <w:u w:val="none"/>
        </w:rPr>
      </w:pPr>
      <w:r>
        <w:rPr>
          <w:rFonts w:hint="eastAsia"/>
          <w:color w:val="auto"/>
          <w:szCs w:val="21"/>
          <w:highlight w:val="none"/>
          <w:u w:val="none"/>
        </w:rPr>
        <w:t>契约性基金所适用的税收征管法律法规可能会由于国家相关税收政策调整而发生变化，投资者收益也可能因相关税收政策调整而受到影响。</w:t>
      </w:r>
    </w:p>
    <w:p>
      <w:pPr>
        <w:pStyle w:val="81"/>
        <w:rPr>
          <w:color w:val="auto"/>
          <w:szCs w:val="21"/>
          <w:highlight w:val="none"/>
          <w:u w:val="none"/>
        </w:rPr>
      </w:pPr>
      <w:r>
        <w:rPr>
          <w:color w:val="auto"/>
          <w:szCs w:val="21"/>
          <w:highlight w:val="none"/>
          <w:u w:val="none"/>
        </w:rPr>
        <w:t>(二十五)其他风险</w:t>
      </w:r>
    </w:p>
    <w:p>
      <w:pPr>
        <w:pStyle w:val="81"/>
        <w:rPr>
          <w:color w:val="auto"/>
          <w:szCs w:val="21"/>
          <w:highlight w:val="none"/>
          <w:u w:val="none"/>
        </w:rPr>
      </w:pPr>
      <w:r>
        <w:rPr>
          <w:color w:val="auto"/>
          <w:szCs w:val="21"/>
          <w:highlight w:val="none"/>
          <w:u w:val="none"/>
        </w:rPr>
        <w:t>战争、自然灾害等不可抗力因素的出现，将可能导致基金资产遭受损失。金融市场危机、行业竞争等超出管理人自身直接控制能力之外的风险，可能导致基金份额持有人利益受损。</w:t>
      </w:r>
    </w:p>
    <w:p>
      <w:pPr>
        <w:spacing w:line="360" w:lineRule="auto"/>
        <w:rPr>
          <w:rFonts w:ascii="楷体" w:hAnsi="楷体" w:eastAsia="楷体"/>
          <w:b/>
          <w:color w:val="auto"/>
          <w:szCs w:val="21"/>
          <w:highlight w:val="none"/>
          <w:u w:val="none"/>
        </w:rPr>
      </w:pPr>
    </w:p>
    <w:p>
      <w:pPr>
        <w:pStyle w:val="81"/>
        <w:ind w:firstLine="422"/>
        <w:rPr>
          <w:rFonts w:ascii="楷体" w:hAnsi="楷体" w:eastAsia="楷体"/>
          <w:b/>
          <w:color w:val="auto"/>
          <w:szCs w:val="21"/>
          <w:highlight w:val="none"/>
          <w:u w:val="none"/>
        </w:rPr>
      </w:pPr>
      <w:r>
        <w:rPr>
          <w:b/>
          <w:color w:val="auto"/>
          <w:szCs w:val="21"/>
          <w:highlight w:val="none"/>
          <w:u w:val="none"/>
        </w:rPr>
        <w:t>特别提示：</w:t>
      </w:r>
    </w:p>
    <w:p>
      <w:pPr>
        <w:pStyle w:val="81"/>
        <w:ind w:firstLine="422"/>
        <w:rPr>
          <w:rFonts w:ascii="楷体" w:hAnsi="楷体" w:eastAsia="楷体"/>
          <w:b/>
          <w:color w:val="auto"/>
          <w:szCs w:val="21"/>
          <w:highlight w:val="none"/>
          <w:u w:val="none"/>
        </w:rPr>
      </w:pPr>
      <w:r>
        <w:rPr>
          <w:b/>
          <w:color w:val="auto"/>
          <w:szCs w:val="21"/>
          <w:highlight w:val="none"/>
          <w:u w:val="none"/>
        </w:rPr>
        <w:t>即使管理人已对可能存在的风险进行了揭示，但本基金仍可能存在未能揭示的风险，投资者交付的投资本金存在部分亏损甚至全部亏损的可能。同时本基金项下管理人的过往业绩不代表该基金未来运作的实际效果，该产品仅适合具有</w:t>
      </w:r>
      <w:r>
        <w:rPr>
          <w:rFonts w:hint="eastAsia"/>
          <w:b/>
          <w:color w:val="auto"/>
          <w:szCs w:val="21"/>
          <w:highlight w:val="none"/>
          <w:u w:val="none"/>
        </w:rPr>
        <w:t>进取级</w:t>
      </w:r>
      <w:r>
        <w:rPr>
          <w:b/>
          <w:color w:val="auto"/>
          <w:szCs w:val="21"/>
          <w:highlight w:val="none"/>
          <w:u w:val="none"/>
        </w:rPr>
        <w:t>风险识别能力和风险承受能力的投资者认购/申购，份额持有人应充分认识加入本基金的投资风险，管理人不保证最低收益或基金本金不受损失。</w:t>
      </w:r>
    </w:p>
    <w:p>
      <w:pPr>
        <w:pStyle w:val="81"/>
        <w:rPr>
          <w:rFonts w:ascii="楷体" w:hAnsi="楷体" w:eastAsia="楷体"/>
          <w:color w:val="auto"/>
          <w:szCs w:val="21"/>
          <w:highlight w:val="none"/>
          <w:u w:val="none"/>
        </w:rPr>
      </w:pPr>
      <w:r>
        <w:rPr>
          <w:color w:val="auto"/>
          <w:szCs w:val="21"/>
          <w:highlight w:val="none"/>
          <w:u w:val="none"/>
        </w:rPr>
        <w:t>为此，根据《中华人民共和国合同法》、《中华人民共和国证券投资基金法》、《私募投资基金监督管理暂行办法》、《私募投资基金管理人登记和基金备案办法（试行）》及其他相关法律法规和行业自律规则的有关规定，管理人郑重申明如下：</w:t>
      </w:r>
    </w:p>
    <w:p>
      <w:pPr>
        <w:pStyle w:val="81"/>
        <w:rPr>
          <w:rFonts w:ascii="楷体" w:hAnsi="楷体" w:eastAsia="楷体"/>
          <w:color w:val="auto"/>
          <w:szCs w:val="21"/>
          <w:highlight w:val="none"/>
          <w:u w:val="none"/>
        </w:rPr>
      </w:pPr>
      <w:r>
        <w:rPr>
          <w:color w:val="auto"/>
          <w:szCs w:val="21"/>
          <w:highlight w:val="none"/>
          <w:u w:val="none"/>
        </w:rPr>
        <w:t>(</w:t>
      </w:r>
      <w:r>
        <w:rPr>
          <w:rFonts w:hint="eastAsia"/>
          <w:color w:val="auto"/>
          <w:szCs w:val="21"/>
          <w:highlight w:val="none"/>
          <w:u w:val="none"/>
        </w:rPr>
        <w:t>一</w:t>
      </w:r>
      <w:r>
        <w:rPr>
          <w:color w:val="auto"/>
          <w:szCs w:val="21"/>
          <w:highlight w:val="none"/>
          <w:u w:val="none"/>
        </w:rPr>
        <w:t>)</w:t>
      </w:r>
      <w:r>
        <w:rPr>
          <w:rFonts w:hint="eastAsia"/>
          <w:color w:val="auto"/>
          <w:szCs w:val="21"/>
          <w:highlight w:val="none"/>
          <w:u w:val="none"/>
        </w:rPr>
        <w:t>管理人保证在募集资金前已在中国证券投资基金业协会登记为私募基金管理人</w:t>
      </w:r>
      <w:r>
        <w:rPr>
          <w:color w:val="auto"/>
          <w:szCs w:val="21"/>
          <w:highlight w:val="none"/>
          <w:u w:val="none"/>
        </w:rPr>
        <w:t>,并</w:t>
      </w:r>
      <w:r>
        <w:rPr>
          <w:rFonts w:hint="eastAsia"/>
          <w:color w:val="auto"/>
          <w:szCs w:val="21"/>
          <w:highlight w:val="none"/>
          <w:u w:val="none"/>
        </w:rPr>
        <w:t>取得管理人登记编码。</w:t>
      </w:r>
    </w:p>
    <w:p>
      <w:pPr>
        <w:pStyle w:val="81"/>
        <w:rPr>
          <w:rFonts w:ascii="楷体" w:hAnsi="楷体" w:eastAsia="楷体"/>
          <w:color w:val="auto"/>
          <w:szCs w:val="21"/>
          <w:highlight w:val="none"/>
          <w:u w:val="none"/>
        </w:rPr>
      </w:pPr>
      <w:r>
        <w:rPr>
          <w:color w:val="auto"/>
          <w:szCs w:val="21"/>
          <w:highlight w:val="none"/>
          <w:u w:val="none"/>
        </w:rPr>
        <w:t>(二)</w:t>
      </w:r>
      <w:r>
        <w:rPr>
          <w:rFonts w:hint="eastAsia"/>
          <w:color w:val="auto"/>
          <w:szCs w:val="21"/>
          <w:highlight w:val="none"/>
          <w:u w:val="none"/>
        </w:rPr>
        <w:t>管理人向投资者声明，中国证券投资基金业协会为管理人和私募基金办理登记备案不构成对管理人投资能力、持续合规情况的认可；不作为对基金财产安全的保证。</w:t>
      </w:r>
    </w:p>
    <w:p>
      <w:pPr>
        <w:pStyle w:val="81"/>
        <w:rPr>
          <w:rFonts w:ascii="楷体" w:hAnsi="楷体" w:eastAsia="楷体"/>
          <w:color w:val="auto"/>
          <w:szCs w:val="21"/>
          <w:highlight w:val="none"/>
          <w:u w:val="none"/>
        </w:rPr>
      </w:pPr>
      <w:r>
        <w:rPr>
          <w:color w:val="auto"/>
          <w:szCs w:val="21"/>
          <w:highlight w:val="none"/>
          <w:u w:val="none"/>
        </w:rPr>
        <w:t>(三)本基金具有一定的投资风险，仅适合风险识别、评估、承受能力</w:t>
      </w:r>
      <w:r>
        <w:rPr>
          <w:rFonts w:hint="eastAsia"/>
          <w:color w:val="auto"/>
          <w:szCs w:val="21"/>
          <w:highlight w:val="none"/>
          <w:u w:val="none"/>
        </w:rPr>
        <w:t>为</w:t>
      </w:r>
      <w:r>
        <w:rPr>
          <w:rFonts w:hint="eastAsia"/>
          <w:b/>
          <w:color w:val="auto"/>
          <w:szCs w:val="21"/>
          <w:highlight w:val="none"/>
          <w:u w:val="none"/>
        </w:rPr>
        <w:t>进取级</w:t>
      </w:r>
      <w:r>
        <w:rPr>
          <w:color w:val="auto"/>
          <w:szCs w:val="21"/>
          <w:highlight w:val="none"/>
          <w:u w:val="none"/>
        </w:rPr>
        <w:t>的合格投资者。</w:t>
      </w:r>
      <w:r>
        <w:rPr>
          <w:b/>
          <w:color w:val="auto"/>
          <w:szCs w:val="21"/>
          <w:highlight w:val="none"/>
          <w:u w:val="none"/>
        </w:rPr>
        <w:t>管理人或托管人对本基金财产的盈亏不提供任何承诺，不保证一定盈利，也不保证最低收益。</w:t>
      </w:r>
    </w:p>
    <w:p>
      <w:pPr>
        <w:pStyle w:val="81"/>
        <w:rPr>
          <w:rFonts w:ascii="楷体" w:hAnsi="楷体" w:eastAsia="楷体"/>
          <w:color w:val="auto"/>
          <w:szCs w:val="21"/>
          <w:highlight w:val="none"/>
          <w:u w:val="none"/>
        </w:rPr>
      </w:pPr>
      <w:r>
        <w:rPr>
          <w:color w:val="auto"/>
          <w:szCs w:val="21"/>
          <w:highlight w:val="none"/>
          <w:u w:val="none"/>
        </w:rPr>
        <w:t>(四)投资者应以自己合法所有的资金认购基金份额，不得非法汇集他人资金参与本基金，并应对认购资金享有合法、完整的所有权和支配权。</w:t>
      </w:r>
    </w:p>
    <w:p>
      <w:pPr>
        <w:pStyle w:val="81"/>
        <w:rPr>
          <w:rFonts w:ascii="楷体" w:hAnsi="楷体" w:eastAsia="楷体"/>
          <w:color w:val="auto"/>
          <w:szCs w:val="21"/>
          <w:highlight w:val="none"/>
          <w:u w:val="none"/>
        </w:rPr>
      </w:pPr>
      <w:r>
        <w:rPr>
          <w:color w:val="auto"/>
          <w:szCs w:val="21"/>
          <w:highlight w:val="none"/>
          <w:u w:val="none"/>
        </w:rPr>
        <w:t>(五)投资者应已就签署及履行基金合同获得了有关法律法规及公司章程</w:t>
      </w:r>
      <w:r>
        <w:rPr>
          <w:rFonts w:hint="eastAsia"/>
          <w:color w:val="auto"/>
          <w:szCs w:val="21"/>
          <w:highlight w:val="none"/>
          <w:u w:val="none"/>
        </w:rPr>
        <w:t>（</w:t>
      </w:r>
      <w:r>
        <w:rPr>
          <w:color w:val="auto"/>
          <w:szCs w:val="21"/>
          <w:highlight w:val="none"/>
          <w:u w:val="none"/>
        </w:rPr>
        <w:t>如适用</w:t>
      </w:r>
      <w:r>
        <w:rPr>
          <w:rFonts w:hint="eastAsia"/>
          <w:color w:val="auto"/>
          <w:szCs w:val="21"/>
          <w:highlight w:val="none"/>
          <w:u w:val="none"/>
        </w:rPr>
        <w:t>）规定的</w:t>
      </w:r>
      <w:r>
        <w:rPr>
          <w:color w:val="auto"/>
          <w:szCs w:val="21"/>
          <w:highlight w:val="none"/>
          <w:u w:val="none"/>
        </w:rPr>
        <w:t>一切必要的批准、许可或授权。</w:t>
      </w:r>
    </w:p>
    <w:p>
      <w:pPr>
        <w:pStyle w:val="81"/>
        <w:rPr>
          <w:rFonts w:ascii="楷体" w:hAnsi="楷体" w:eastAsia="楷体"/>
          <w:color w:val="auto"/>
          <w:szCs w:val="21"/>
          <w:highlight w:val="none"/>
          <w:u w:val="none"/>
        </w:rPr>
      </w:pPr>
      <w:r>
        <w:rPr>
          <w:color w:val="auto"/>
          <w:szCs w:val="21"/>
          <w:highlight w:val="none"/>
          <w:u w:val="none"/>
        </w:rPr>
        <w:t>(六)管理人按基金合同约定管理、运用和处分基金财产所产生的风险，由基金财产承担。管理人违背基金合同约定或处理基金事务不当而造成基金财产损失的，由管理人以固有财产赔偿；不足赔偿时，由投资者自担。</w:t>
      </w:r>
    </w:p>
    <w:p>
      <w:pPr>
        <w:pStyle w:val="81"/>
        <w:ind w:firstLine="422"/>
        <w:rPr>
          <w:rFonts w:ascii="楷体" w:hAnsi="楷体" w:eastAsia="楷体"/>
          <w:b/>
          <w:color w:val="auto"/>
          <w:szCs w:val="21"/>
          <w:highlight w:val="none"/>
          <w:u w:val="none"/>
        </w:rPr>
      </w:pPr>
      <w:r>
        <w:rPr>
          <w:b/>
          <w:color w:val="auto"/>
          <w:szCs w:val="21"/>
          <w:highlight w:val="none"/>
          <w:u w:val="none"/>
        </w:rPr>
        <w:t>(七)在签署风险揭示书和基金合同前，投资者应仔细阅读</w:t>
      </w:r>
      <w:r>
        <w:rPr>
          <w:rFonts w:hint="eastAsia"/>
          <w:b/>
          <w:color w:val="auto"/>
          <w:szCs w:val="21"/>
          <w:highlight w:val="none"/>
          <w:u w:val="none"/>
        </w:rPr>
        <w:t>风险揭示书</w:t>
      </w:r>
      <w:r>
        <w:rPr>
          <w:b/>
          <w:color w:val="auto"/>
          <w:szCs w:val="21"/>
          <w:highlight w:val="none"/>
          <w:u w:val="none"/>
        </w:rPr>
        <w:t>、基金合同及其他有关信息，独立且谨慎地做出是否签署的决策。投资者在风险揭示书和基金合同上签字，即表明：</w:t>
      </w:r>
    </w:p>
    <w:p>
      <w:pPr>
        <w:pStyle w:val="81"/>
        <w:ind w:firstLine="422"/>
        <w:rPr>
          <w:rFonts w:ascii="楷体" w:hAnsi="楷体" w:eastAsia="楷体"/>
          <w:b/>
          <w:color w:val="auto"/>
          <w:szCs w:val="21"/>
          <w:highlight w:val="none"/>
          <w:u w:val="none"/>
        </w:rPr>
      </w:pPr>
      <w:r>
        <w:rPr>
          <w:b/>
          <w:color w:val="auto"/>
          <w:szCs w:val="21"/>
          <w:highlight w:val="none"/>
          <w:u w:val="none"/>
        </w:rPr>
        <w:t>1.投资者已认真阅读并准确理解基金合同、风险揭示书以及所有备查文件，了解本基金可能存在的风险，且愿意依法承担相应的投资风险。</w:t>
      </w:r>
    </w:p>
    <w:p>
      <w:pPr>
        <w:pStyle w:val="81"/>
        <w:ind w:firstLine="422"/>
        <w:rPr>
          <w:rFonts w:ascii="楷体" w:hAnsi="楷体" w:eastAsia="楷体"/>
          <w:b/>
          <w:color w:val="auto"/>
          <w:szCs w:val="21"/>
          <w:highlight w:val="none"/>
          <w:u w:val="none"/>
        </w:rPr>
      </w:pPr>
      <w:r>
        <w:rPr>
          <w:b/>
          <w:color w:val="auto"/>
          <w:szCs w:val="21"/>
          <w:highlight w:val="none"/>
          <w:u w:val="none"/>
        </w:rPr>
        <w:t>2.管理人/托管人已按投资者的要求对基金合同中免除或限制管理人/托管人责任的内容予以充分的解释和说明。</w:t>
      </w:r>
    </w:p>
    <w:p>
      <w:pPr>
        <w:pStyle w:val="81"/>
        <w:ind w:firstLine="422"/>
        <w:rPr>
          <w:rFonts w:ascii="楷体" w:hAnsi="楷体" w:eastAsia="楷体"/>
          <w:b/>
          <w:color w:val="auto"/>
          <w:szCs w:val="21"/>
          <w:highlight w:val="none"/>
          <w:u w:val="none"/>
        </w:rPr>
      </w:pPr>
      <w:r>
        <w:rPr>
          <w:b/>
          <w:color w:val="auto"/>
          <w:szCs w:val="21"/>
          <w:highlight w:val="none"/>
          <w:u w:val="none"/>
        </w:rPr>
        <w:t>(八)</w:t>
      </w:r>
      <w:r>
        <w:rPr>
          <w:rFonts w:hint="eastAsia"/>
          <w:b/>
          <w:color w:val="auto"/>
          <w:szCs w:val="21"/>
          <w:highlight w:val="none"/>
          <w:u w:val="none"/>
        </w:rPr>
        <w:t>投资者认购</w:t>
      </w:r>
      <w:r>
        <w:rPr>
          <w:b/>
          <w:color w:val="auto"/>
          <w:szCs w:val="21"/>
          <w:highlight w:val="none"/>
          <w:u w:val="none"/>
        </w:rPr>
        <w:t>/申购的</w:t>
      </w:r>
      <w:r>
        <w:rPr>
          <w:rFonts w:hint="eastAsia"/>
          <w:b/>
          <w:color w:val="auto"/>
          <w:szCs w:val="21"/>
          <w:highlight w:val="none"/>
          <w:u w:val="none"/>
        </w:rPr>
        <w:t>资金金额为</w:t>
      </w:r>
      <w:r>
        <w:rPr>
          <w:b/>
          <w:color w:val="auto"/>
          <w:szCs w:val="21"/>
          <w:highlight w:val="none"/>
          <w:u w:val="none"/>
        </w:rPr>
        <w:t>________</w:t>
      </w:r>
      <w:r>
        <w:rPr>
          <w:rFonts w:hint="eastAsia"/>
          <w:b/>
          <w:color w:val="auto"/>
          <w:szCs w:val="21"/>
          <w:highlight w:val="none"/>
          <w:u w:val="none"/>
        </w:rPr>
        <w:t>万元。</w:t>
      </w:r>
    </w:p>
    <w:p>
      <w:pPr>
        <w:spacing w:line="360" w:lineRule="auto"/>
        <w:rPr>
          <w:rFonts w:ascii="楷体" w:hAnsi="楷体" w:eastAsia="楷体"/>
          <w:b/>
          <w:color w:val="auto"/>
          <w:szCs w:val="21"/>
          <w:highlight w:val="none"/>
          <w:u w:val="none"/>
        </w:rPr>
      </w:pPr>
    </w:p>
    <w:p>
      <w:pPr>
        <w:pStyle w:val="81"/>
        <w:ind w:firstLine="422"/>
        <w:rPr>
          <w:rFonts w:ascii="楷体" w:hAnsi="楷体" w:eastAsia="楷体"/>
          <w:b/>
          <w:color w:val="auto"/>
          <w:szCs w:val="21"/>
          <w:highlight w:val="none"/>
          <w:u w:val="none"/>
        </w:rPr>
      </w:pPr>
      <w:r>
        <w:rPr>
          <w:rFonts w:hint="eastAsia"/>
          <w:b/>
          <w:color w:val="auto"/>
          <w:szCs w:val="21"/>
          <w:highlight w:val="none"/>
          <w:u w:val="none"/>
        </w:rPr>
        <w:t>投资者确认：</w:t>
      </w:r>
    </w:p>
    <w:p>
      <w:pPr>
        <w:pStyle w:val="81"/>
        <w:rPr>
          <w:rFonts w:ascii="楷体" w:hAnsi="楷体" w:eastAsia="楷体"/>
          <w:color w:val="auto"/>
          <w:szCs w:val="21"/>
          <w:highlight w:val="none"/>
          <w:u w:val="none"/>
        </w:rPr>
      </w:pPr>
      <w:r>
        <w:rPr>
          <w:rFonts w:hint="eastAsia"/>
          <w:color w:val="auto"/>
          <w:szCs w:val="21"/>
          <w:highlight w:val="none"/>
          <w:u w:val="none"/>
        </w:rPr>
        <w:t>作为该私募基金的投资者，本人</w:t>
      </w:r>
      <w:r>
        <w:rPr>
          <w:color w:val="auto"/>
          <w:szCs w:val="21"/>
          <w:highlight w:val="none"/>
          <w:u w:val="none"/>
        </w:rPr>
        <w:t>/机构已充分了解并谨慎评估自身风险承受能力，自愿自行承担投资该私募基金所面临的风险。本人/机构做出以下陈述和声明，并确认（自然人投资者在每段段尾“【________】”内签名，机构投资者在本页、</w:t>
      </w:r>
      <w:r>
        <w:rPr>
          <w:rFonts w:hint="eastAsia"/>
          <w:color w:val="auto"/>
          <w:szCs w:val="21"/>
          <w:highlight w:val="none"/>
          <w:u w:val="none"/>
        </w:rPr>
        <w:t>尾页盖章，加盖骑缝章）其内容的真实和正确：</w:t>
      </w:r>
    </w:p>
    <w:p>
      <w:pPr>
        <w:pStyle w:val="81"/>
        <w:rPr>
          <w:rFonts w:ascii="楷体" w:hAnsi="楷体" w:eastAsia="楷体"/>
          <w:color w:val="auto"/>
          <w:szCs w:val="21"/>
          <w:highlight w:val="none"/>
          <w:u w:val="none"/>
        </w:rPr>
      </w:pPr>
      <w:r>
        <w:rPr>
          <w:color w:val="auto"/>
          <w:szCs w:val="21"/>
          <w:highlight w:val="none"/>
          <w:u w:val="none"/>
        </w:rPr>
        <w:t>1.</w:t>
      </w:r>
      <w:r>
        <w:rPr>
          <w:rFonts w:hint="eastAsia"/>
          <w:color w:val="auto"/>
          <w:szCs w:val="21"/>
          <w:highlight w:val="none"/>
          <w:u w:val="none"/>
        </w:rPr>
        <w:t>本人</w:t>
      </w:r>
      <w:r>
        <w:rPr>
          <w:color w:val="auto"/>
          <w:szCs w:val="21"/>
          <w:highlight w:val="none"/>
          <w:u w:val="none"/>
        </w:rPr>
        <w:t>/机构已仔细阅读私募基金法律文件和其他文件，充分理解相关权利、义务、本私募基金运作方式及风险收益特征，愿意承担由上述风险引致的全部后果。【________】</w:t>
      </w:r>
    </w:p>
    <w:p>
      <w:pPr>
        <w:pStyle w:val="81"/>
        <w:rPr>
          <w:rFonts w:ascii="楷体" w:hAnsi="楷体" w:eastAsia="楷体"/>
          <w:color w:val="auto"/>
          <w:szCs w:val="21"/>
          <w:highlight w:val="none"/>
          <w:u w:val="none"/>
        </w:rPr>
      </w:pPr>
      <w:r>
        <w:rPr>
          <w:color w:val="auto"/>
          <w:szCs w:val="21"/>
          <w:highlight w:val="none"/>
          <w:u w:val="none"/>
        </w:rPr>
        <w:t>2.</w:t>
      </w:r>
      <w:r>
        <w:rPr>
          <w:rFonts w:hint="eastAsia"/>
          <w:color w:val="auto"/>
          <w:szCs w:val="21"/>
          <w:highlight w:val="none"/>
          <w:u w:val="none"/>
        </w:rPr>
        <w:t>本人</w:t>
      </w:r>
      <w:r>
        <w:rPr>
          <w:color w:val="auto"/>
          <w:szCs w:val="21"/>
          <w:highlight w:val="none"/>
          <w:u w:val="none"/>
        </w:rPr>
        <w:t>/机构知晓，基金管理人、基金销售机构、基金托管人及相关机构不应当对基金财产的收益状况</w:t>
      </w:r>
      <w:r>
        <w:rPr>
          <w:rFonts w:hint="eastAsia"/>
          <w:color w:val="auto"/>
          <w:szCs w:val="21"/>
          <w:highlight w:val="none"/>
          <w:u w:val="none"/>
        </w:rPr>
        <w:t>作出任何承诺或担保。【</w:t>
      </w:r>
      <w:r>
        <w:rPr>
          <w:color w:val="auto"/>
          <w:szCs w:val="21"/>
          <w:highlight w:val="none"/>
          <w:u w:val="none"/>
        </w:rPr>
        <w:t>________】</w:t>
      </w:r>
    </w:p>
    <w:p>
      <w:pPr>
        <w:pStyle w:val="81"/>
        <w:rPr>
          <w:rFonts w:ascii="楷体" w:hAnsi="楷体" w:eastAsia="楷体"/>
          <w:color w:val="auto"/>
          <w:szCs w:val="21"/>
          <w:highlight w:val="none"/>
          <w:u w:val="none"/>
        </w:rPr>
      </w:pPr>
      <w:r>
        <w:rPr>
          <w:color w:val="auto"/>
          <w:szCs w:val="21"/>
          <w:highlight w:val="none"/>
          <w:u w:val="none"/>
        </w:rPr>
        <w:t>3.</w:t>
      </w:r>
      <w:r>
        <w:rPr>
          <w:rFonts w:hint="eastAsia"/>
          <w:color w:val="auto"/>
          <w:szCs w:val="21"/>
          <w:highlight w:val="none"/>
          <w:u w:val="none"/>
        </w:rPr>
        <w:t>本人</w:t>
      </w:r>
      <w:r>
        <w:rPr>
          <w:color w:val="auto"/>
          <w:szCs w:val="21"/>
          <w:highlight w:val="none"/>
          <w:u w:val="none"/>
        </w:rPr>
        <w:t>/机构已通过中国基金业协会的官方网站（www.amac.org.cn）查询了私募基金管理人的基本信息，并将于本私募基金完成备案后查实其募集结算资金专用账户的相关信息与打款账户信息的一致性。【________】</w:t>
      </w:r>
    </w:p>
    <w:p>
      <w:pPr>
        <w:pStyle w:val="81"/>
        <w:rPr>
          <w:rFonts w:ascii="楷体" w:hAnsi="楷体" w:eastAsia="楷体"/>
          <w:color w:val="auto"/>
          <w:szCs w:val="21"/>
          <w:highlight w:val="none"/>
          <w:u w:val="none"/>
        </w:rPr>
      </w:pPr>
      <w:r>
        <w:rPr>
          <w:color w:val="auto"/>
          <w:szCs w:val="21"/>
          <w:highlight w:val="none"/>
          <w:u w:val="none"/>
        </w:rPr>
        <w:t>4.</w:t>
      </w:r>
      <w:r>
        <w:rPr>
          <w:rFonts w:hint="eastAsia"/>
          <w:color w:val="auto"/>
          <w:szCs w:val="21"/>
          <w:highlight w:val="none"/>
          <w:u w:val="none"/>
        </w:rPr>
        <w:t>在购买本私募基金前，本人</w:t>
      </w:r>
      <w:r>
        <w:rPr>
          <w:color w:val="auto"/>
          <w:szCs w:val="21"/>
          <w:highlight w:val="none"/>
          <w:u w:val="none"/>
        </w:rPr>
        <w:t>/机构已符合《私募投资基金监督管理暂行办法》有关合格投资者的要求并已按照募集机构的要求提供相关证明文件。【________】</w:t>
      </w:r>
    </w:p>
    <w:p>
      <w:pPr>
        <w:pStyle w:val="81"/>
        <w:rPr>
          <w:rFonts w:ascii="楷体" w:hAnsi="楷体" w:eastAsia="楷体"/>
          <w:color w:val="auto"/>
          <w:szCs w:val="21"/>
          <w:highlight w:val="none"/>
          <w:u w:val="none"/>
        </w:rPr>
      </w:pPr>
      <w:r>
        <w:rPr>
          <w:color w:val="auto"/>
          <w:szCs w:val="21"/>
          <w:highlight w:val="none"/>
          <w:u w:val="none"/>
        </w:rPr>
        <w:t>5.</w:t>
      </w:r>
      <w:r>
        <w:rPr>
          <w:rFonts w:hint="eastAsia"/>
          <w:color w:val="auto"/>
          <w:szCs w:val="21"/>
          <w:highlight w:val="none"/>
          <w:u w:val="none"/>
        </w:rPr>
        <w:t>本人</w:t>
      </w:r>
      <w:r>
        <w:rPr>
          <w:color w:val="auto"/>
          <w:szCs w:val="21"/>
          <w:highlight w:val="none"/>
          <w:u w:val="none"/>
        </w:rPr>
        <w:t>/机构已认真阅读并完全理解基金合同的所有内容，并愿意自行承担购买私募基金的法律责任。【________】</w:t>
      </w:r>
    </w:p>
    <w:p>
      <w:pPr>
        <w:pStyle w:val="81"/>
        <w:rPr>
          <w:rFonts w:ascii="楷体" w:hAnsi="楷体" w:eastAsia="楷体"/>
          <w:color w:val="auto"/>
          <w:szCs w:val="21"/>
          <w:highlight w:val="none"/>
          <w:u w:val="none"/>
        </w:rPr>
      </w:pPr>
      <w:r>
        <w:rPr>
          <w:color w:val="auto"/>
          <w:szCs w:val="21"/>
          <w:highlight w:val="none"/>
          <w:u w:val="none"/>
        </w:rPr>
        <w:t>6.</w:t>
      </w:r>
      <w:r>
        <w:rPr>
          <w:rFonts w:hint="eastAsia"/>
          <w:color w:val="auto"/>
          <w:szCs w:val="21"/>
          <w:highlight w:val="none"/>
          <w:u w:val="none"/>
        </w:rPr>
        <w:t>本人</w:t>
      </w:r>
      <w:r>
        <w:rPr>
          <w:color w:val="auto"/>
          <w:szCs w:val="21"/>
          <w:highlight w:val="none"/>
          <w:u w:val="none"/>
        </w:rPr>
        <w:t>/机构已认真阅读并完全理解基金合同中关于“当事人的权利与义务”的所有内容，并愿意自行承担购买私募基金的法律责任。【________】</w:t>
      </w:r>
    </w:p>
    <w:p>
      <w:pPr>
        <w:pStyle w:val="81"/>
        <w:rPr>
          <w:rFonts w:ascii="楷体" w:hAnsi="楷体" w:eastAsia="楷体"/>
          <w:color w:val="auto"/>
          <w:szCs w:val="21"/>
          <w:highlight w:val="none"/>
          <w:u w:val="none"/>
        </w:rPr>
      </w:pPr>
      <w:r>
        <w:rPr>
          <w:color w:val="auto"/>
          <w:szCs w:val="21"/>
          <w:highlight w:val="none"/>
          <w:u w:val="none"/>
        </w:rPr>
        <w:t>7.</w:t>
      </w:r>
      <w:r>
        <w:rPr>
          <w:rFonts w:hint="eastAsia"/>
          <w:color w:val="auto"/>
          <w:szCs w:val="21"/>
          <w:highlight w:val="none"/>
          <w:u w:val="none"/>
        </w:rPr>
        <w:t>本人</w:t>
      </w:r>
      <w:r>
        <w:rPr>
          <w:color w:val="auto"/>
          <w:szCs w:val="21"/>
          <w:highlight w:val="none"/>
          <w:u w:val="none"/>
        </w:rPr>
        <w:t>/机构知晓，投资冷静期及回访确认的制度安排以及在此期间的权利。【________】</w:t>
      </w:r>
    </w:p>
    <w:p>
      <w:pPr>
        <w:pStyle w:val="81"/>
        <w:rPr>
          <w:rFonts w:ascii="楷体" w:hAnsi="楷体" w:eastAsia="楷体"/>
          <w:color w:val="auto"/>
          <w:szCs w:val="21"/>
          <w:highlight w:val="none"/>
          <w:u w:val="none"/>
        </w:rPr>
      </w:pPr>
      <w:r>
        <w:rPr>
          <w:color w:val="auto"/>
          <w:szCs w:val="21"/>
          <w:highlight w:val="none"/>
          <w:u w:val="none"/>
        </w:rPr>
        <w:t>8.</w:t>
      </w:r>
      <w:r>
        <w:rPr>
          <w:rFonts w:hint="eastAsia"/>
          <w:color w:val="auto"/>
          <w:szCs w:val="21"/>
          <w:highlight w:val="none"/>
          <w:u w:val="none"/>
        </w:rPr>
        <w:t>本人</w:t>
      </w:r>
      <w:r>
        <w:rPr>
          <w:color w:val="auto"/>
          <w:szCs w:val="21"/>
          <w:highlight w:val="none"/>
          <w:u w:val="none"/>
        </w:rPr>
        <w:t>/机构已认真阅读并完全理解基金合同中“私募基金的投资”的所有内容，并愿意自行承担购买私募基金的法律责任。【________】</w:t>
      </w:r>
    </w:p>
    <w:p>
      <w:pPr>
        <w:pStyle w:val="81"/>
        <w:rPr>
          <w:rFonts w:ascii="楷体" w:hAnsi="楷体" w:eastAsia="楷体"/>
          <w:color w:val="auto"/>
          <w:szCs w:val="21"/>
          <w:highlight w:val="none"/>
          <w:u w:val="none"/>
        </w:rPr>
      </w:pPr>
      <w:r>
        <w:rPr>
          <w:color w:val="auto"/>
          <w:szCs w:val="21"/>
          <w:highlight w:val="none"/>
          <w:u w:val="none"/>
        </w:rPr>
        <w:t>9.</w:t>
      </w:r>
      <w:r>
        <w:rPr>
          <w:rFonts w:hint="eastAsia"/>
          <w:color w:val="auto"/>
          <w:szCs w:val="21"/>
          <w:highlight w:val="none"/>
          <w:u w:val="none"/>
        </w:rPr>
        <w:t>本人</w:t>
      </w:r>
      <w:r>
        <w:rPr>
          <w:color w:val="auto"/>
          <w:szCs w:val="21"/>
          <w:highlight w:val="none"/>
          <w:u w:val="none"/>
        </w:rPr>
        <w:t>/机构已认真阅读并完全理解基金合同中“私募基金的费用与税收”中的所有内容。【________】</w:t>
      </w:r>
    </w:p>
    <w:p>
      <w:pPr>
        <w:pStyle w:val="81"/>
        <w:rPr>
          <w:rFonts w:ascii="楷体" w:hAnsi="楷体" w:eastAsia="楷体"/>
          <w:color w:val="auto"/>
          <w:szCs w:val="21"/>
          <w:highlight w:val="none"/>
          <w:u w:val="none"/>
        </w:rPr>
      </w:pPr>
      <w:r>
        <w:rPr>
          <w:color w:val="auto"/>
          <w:szCs w:val="21"/>
          <w:highlight w:val="none"/>
          <w:u w:val="none"/>
        </w:rPr>
        <w:t>10.</w:t>
      </w:r>
      <w:r>
        <w:rPr>
          <w:rFonts w:hint="eastAsia"/>
          <w:color w:val="auto"/>
          <w:szCs w:val="21"/>
          <w:highlight w:val="none"/>
          <w:u w:val="none"/>
        </w:rPr>
        <w:t>本人</w:t>
      </w:r>
      <w:r>
        <w:rPr>
          <w:color w:val="auto"/>
          <w:szCs w:val="21"/>
          <w:highlight w:val="none"/>
          <w:u w:val="none"/>
        </w:rPr>
        <w:t>/机构已认真阅读并完全理解基金合同中“争议的处理”中的所有内容。【________】</w:t>
      </w:r>
    </w:p>
    <w:p>
      <w:pPr>
        <w:pStyle w:val="81"/>
        <w:rPr>
          <w:rFonts w:ascii="楷体" w:hAnsi="楷体" w:eastAsia="楷体"/>
          <w:color w:val="auto"/>
          <w:szCs w:val="21"/>
          <w:highlight w:val="none"/>
          <w:u w:val="none"/>
        </w:rPr>
      </w:pPr>
      <w:r>
        <w:rPr>
          <w:color w:val="auto"/>
          <w:szCs w:val="21"/>
          <w:highlight w:val="none"/>
          <w:u w:val="none"/>
        </w:rPr>
        <w:t>11.</w:t>
      </w:r>
      <w:r>
        <w:rPr>
          <w:rFonts w:hint="eastAsia"/>
          <w:color w:val="auto"/>
          <w:szCs w:val="21"/>
          <w:highlight w:val="none"/>
          <w:u w:val="none"/>
        </w:rPr>
        <w:t>本人</w:t>
      </w:r>
      <w:r>
        <w:rPr>
          <w:color w:val="auto"/>
          <w:szCs w:val="21"/>
          <w:highlight w:val="none"/>
          <w:u w:val="none"/>
        </w:rPr>
        <w:t>/机构知晓，中国基金业协会为私募基金管理人和私募基金办理登记备案不构成对私募基金管理人投资能力、持续合</w:t>
      </w:r>
      <w:r>
        <w:rPr>
          <w:rFonts w:hint="eastAsia"/>
          <w:color w:val="auto"/>
          <w:szCs w:val="21"/>
          <w:highlight w:val="none"/>
          <w:u w:val="none"/>
        </w:rPr>
        <w:t>规情况的认可；不作为对基金财产安全的保证。【</w:t>
      </w:r>
      <w:r>
        <w:rPr>
          <w:color w:val="auto"/>
          <w:szCs w:val="21"/>
          <w:highlight w:val="none"/>
          <w:u w:val="none"/>
        </w:rPr>
        <w:t>________】</w:t>
      </w:r>
    </w:p>
    <w:p>
      <w:pPr>
        <w:pStyle w:val="81"/>
        <w:rPr>
          <w:rFonts w:ascii="楷体" w:hAnsi="楷体" w:eastAsia="楷体"/>
          <w:color w:val="auto"/>
          <w:szCs w:val="21"/>
          <w:highlight w:val="none"/>
          <w:u w:val="none"/>
        </w:rPr>
      </w:pPr>
      <w:r>
        <w:rPr>
          <w:color w:val="auto"/>
          <w:szCs w:val="21"/>
          <w:highlight w:val="none"/>
          <w:u w:val="none"/>
        </w:rPr>
        <w:t>12.</w:t>
      </w:r>
      <w:r>
        <w:rPr>
          <w:rFonts w:hint="eastAsia"/>
          <w:color w:val="auto"/>
          <w:szCs w:val="21"/>
          <w:highlight w:val="none"/>
          <w:u w:val="none"/>
        </w:rPr>
        <w:t>本人</w:t>
      </w:r>
      <w:r>
        <w:rPr>
          <w:color w:val="auto"/>
          <w:szCs w:val="21"/>
          <w:highlight w:val="none"/>
          <w:u w:val="none"/>
        </w:rPr>
        <w:t>/机构承诺本次投资行为是为本人/机构购买私募投资基金。【________】</w:t>
      </w:r>
    </w:p>
    <w:p>
      <w:pPr>
        <w:pStyle w:val="81"/>
        <w:rPr>
          <w:rFonts w:ascii="楷体" w:hAnsi="楷体" w:eastAsia="楷体"/>
          <w:color w:val="auto"/>
          <w:szCs w:val="21"/>
          <w:highlight w:val="none"/>
          <w:u w:val="none"/>
        </w:rPr>
      </w:pPr>
      <w:r>
        <w:rPr>
          <w:color w:val="auto"/>
          <w:szCs w:val="21"/>
          <w:highlight w:val="none"/>
          <w:u w:val="none"/>
        </w:rPr>
        <w:t>13.</w:t>
      </w:r>
      <w:r>
        <w:rPr>
          <w:rFonts w:hint="eastAsia"/>
          <w:color w:val="auto"/>
          <w:szCs w:val="21"/>
          <w:highlight w:val="none"/>
          <w:u w:val="none"/>
        </w:rPr>
        <w:t>本人</w:t>
      </w:r>
      <w:r>
        <w:rPr>
          <w:color w:val="auto"/>
          <w:szCs w:val="21"/>
          <w:highlight w:val="none"/>
          <w:u w:val="none"/>
        </w:rPr>
        <w:t>/机构承诺不以非法拆分转让为目的购买私募基金，不会突破合格投资者标准，</w:t>
      </w:r>
      <w:r>
        <w:rPr>
          <w:rFonts w:hint="eastAsia"/>
          <w:color w:val="auto"/>
          <w:szCs w:val="21"/>
          <w:highlight w:val="none"/>
          <w:u w:val="none"/>
        </w:rPr>
        <w:t>将私募基金份额或其收益权进行非法拆分转让。【</w:t>
      </w:r>
      <w:r>
        <w:rPr>
          <w:color w:val="auto"/>
          <w:szCs w:val="21"/>
          <w:highlight w:val="none"/>
          <w:u w:val="none"/>
        </w:rPr>
        <w:t>________】</w:t>
      </w:r>
    </w:p>
    <w:p>
      <w:pPr>
        <w:spacing w:line="360" w:lineRule="auto"/>
        <w:ind w:firstLine="420" w:firstLineChars="200"/>
        <w:rPr>
          <w:rFonts w:ascii="楷体" w:hAnsi="楷体" w:eastAsia="楷体"/>
          <w:color w:val="auto"/>
          <w:szCs w:val="21"/>
          <w:highlight w:val="none"/>
          <w:u w:val="none"/>
        </w:rPr>
      </w:pPr>
    </w:p>
    <w:p>
      <w:pPr>
        <w:spacing w:line="360" w:lineRule="auto"/>
        <w:ind w:firstLine="420" w:firstLineChars="200"/>
        <w:rPr>
          <w:rFonts w:ascii="楷体" w:hAnsi="楷体" w:eastAsia="楷体"/>
          <w:color w:val="auto"/>
          <w:szCs w:val="21"/>
          <w:highlight w:val="none"/>
          <w:u w:val="none"/>
        </w:rPr>
      </w:pPr>
    </w:p>
    <w:p>
      <w:pPr>
        <w:spacing w:line="360" w:lineRule="auto"/>
        <w:ind w:firstLine="420" w:firstLineChars="200"/>
        <w:rPr>
          <w:rFonts w:ascii="楷体" w:hAnsi="楷体" w:eastAsia="楷体"/>
          <w:color w:val="auto"/>
          <w:szCs w:val="21"/>
          <w:highlight w:val="none"/>
          <w:u w:val="none"/>
        </w:rPr>
      </w:pPr>
      <w:r>
        <w:rPr>
          <w:rFonts w:hint="eastAsia" w:ascii="楷体" w:hAnsi="楷体" w:eastAsia="楷体"/>
          <w:color w:val="auto"/>
          <w:szCs w:val="21"/>
          <w:highlight w:val="none"/>
          <w:u w:val="none"/>
        </w:rPr>
        <w:t>基金投资者（自然人签字或机构盖章）：</w:t>
      </w:r>
    </w:p>
    <w:p>
      <w:pPr>
        <w:spacing w:line="360" w:lineRule="auto"/>
        <w:ind w:firstLine="420" w:firstLineChars="200"/>
        <w:rPr>
          <w:rFonts w:ascii="楷体" w:hAnsi="楷体" w:eastAsia="楷体"/>
          <w:color w:val="auto"/>
          <w:szCs w:val="21"/>
          <w:highlight w:val="none"/>
          <w:u w:val="none"/>
        </w:rPr>
      </w:pPr>
    </w:p>
    <w:p>
      <w:pPr>
        <w:spacing w:line="360" w:lineRule="auto"/>
        <w:ind w:firstLine="420" w:firstLineChars="200"/>
        <w:rPr>
          <w:rFonts w:ascii="楷体" w:hAnsi="楷体" w:eastAsia="楷体"/>
          <w:color w:val="auto"/>
          <w:szCs w:val="21"/>
          <w:highlight w:val="none"/>
          <w:u w:val="none"/>
        </w:rPr>
      </w:pPr>
    </w:p>
    <w:p>
      <w:pPr>
        <w:spacing w:line="360" w:lineRule="auto"/>
        <w:ind w:firstLine="420" w:firstLineChars="200"/>
        <w:rPr>
          <w:rFonts w:ascii="楷体" w:hAnsi="楷体" w:eastAsia="楷体"/>
          <w:color w:val="auto"/>
          <w:szCs w:val="21"/>
          <w:highlight w:val="none"/>
          <w:u w:val="none"/>
        </w:rPr>
      </w:pPr>
      <w:r>
        <w:rPr>
          <w:rFonts w:hint="eastAsia" w:ascii="楷体" w:hAnsi="楷体" w:eastAsia="楷体"/>
          <w:color w:val="auto"/>
          <w:szCs w:val="21"/>
          <w:highlight w:val="none"/>
          <w:u w:val="none"/>
        </w:rPr>
        <w:t>日期：</w:t>
      </w:r>
    </w:p>
    <w:p>
      <w:pPr>
        <w:spacing w:line="360" w:lineRule="auto"/>
        <w:ind w:firstLine="420" w:firstLineChars="200"/>
        <w:rPr>
          <w:rFonts w:ascii="楷体" w:hAnsi="楷体" w:eastAsia="楷体"/>
          <w:color w:val="auto"/>
          <w:szCs w:val="21"/>
          <w:highlight w:val="none"/>
          <w:u w:val="none"/>
        </w:rPr>
      </w:pPr>
    </w:p>
    <w:p>
      <w:pPr>
        <w:spacing w:line="360" w:lineRule="auto"/>
        <w:ind w:firstLine="420" w:firstLineChars="200"/>
        <w:rPr>
          <w:rFonts w:ascii="楷体" w:hAnsi="楷体" w:eastAsia="楷体"/>
          <w:color w:val="auto"/>
          <w:szCs w:val="21"/>
          <w:highlight w:val="none"/>
          <w:u w:val="none"/>
        </w:rPr>
      </w:pPr>
    </w:p>
    <w:p>
      <w:pPr>
        <w:spacing w:line="360" w:lineRule="auto"/>
        <w:ind w:firstLine="420" w:firstLineChars="200"/>
        <w:rPr>
          <w:rFonts w:ascii="楷体" w:hAnsi="楷体" w:eastAsia="楷体"/>
          <w:color w:val="auto"/>
          <w:szCs w:val="21"/>
          <w:highlight w:val="none"/>
          <w:u w:val="none"/>
        </w:rPr>
      </w:pPr>
      <w:r>
        <w:rPr>
          <w:rFonts w:hint="eastAsia" w:ascii="楷体" w:hAnsi="楷体" w:eastAsia="楷体"/>
          <w:color w:val="auto"/>
          <w:szCs w:val="21"/>
          <w:highlight w:val="none"/>
          <w:u w:val="none"/>
        </w:rPr>
        <w:t>经办员（签字）：</w:t>
      </w:r>
    </w:p>
    <w:p>
      <w:pPr>
        <w:spacing w:line="360" w:lineRule="auto"/>
        <w:ind w:firstLine="420" w:firstLineChars="200"/>
        <w:rPr>
          <w:rFonts w:ascii="楷体" w:hAnsi="楷体" w:eastAsia="楷体"/>
          <w:color w:val="auto"/>
          <w:szCs w:val="21"/>
          <w:highlight w:val="none"/>
          <w:u w:val="none"/>
        </w:rPr>
      </w:pPr>
    </w:p>
    <w:p>
      <w:pPr>
        <w:spacing w:line="360" w:lineRule="auto"/>
        <w:ind w:firstLine="420" w:firstLineChars="200"/>
        <w:rPr>
          <w:rFonts w:ascii="楷体" w:hAnsi="楷体" w:eastAsia="楷体"/>
          <w:color w:val="auto"/>
          <w:szCs w:val="21"/>
          <w:highlight w:val="none"/>
          <w:u w:val="none"/>
        </w:rPr>
      </w:pPr>
    </w:p>
    <w:p>
      <w:pPr>
        <w:spacing w:line="360" w:lineRule="auto"/>
        <w:ind w:firstLine="420" w:firstLineChars="200"/>
        <w:rPr>
          <w:rFonts w:ascii="楷体" w:hAnsi="楷体" w:eastAsia="楷体"/>
          <w:color w:val="auto"/>
          <w:szCs w:val="21"/>
          <w:highlight w:val="none"/>
          <w:u w:val="none"/>
        </w:rPr>
      </w:pPr>
      <w:r>
        <w:rPr>
          <w:rFonts w:hint="eastAsia" w:ascii="楷体" w:hAnsi="楷体" w:eastAsia="楷体"/>
          <w:color w:val="auto"/>
          <w:szCs w:val="21"/>
          <w:highlight w:val="none"/>
          <w:u w:val="none"/>
        </w:rPr>
        <w:t>日期：</w:t>
      </w:r>
    </w:p>
    <w:p>
      <w:pPr>
        <w:spacing w:line="360" w:lineRule="auto"/>
        <w:ind w:firstLine="420" w:firstLineChars="200"/>
        <w:rPr>
          <w:rFonts w:ascii="楷体" w:hAnsi="楷体" w:eastAsia="楷体"/>
          <w:color w:val="auto"/>
          <w:szCs w:val="21"/>
          <w:highlight w:val="none"/>
          <w:u w:val="none"/>
        </w:rPr>
      </w:pPr>
    </w:p>
    <w:p>
      <w:pPr>
        <w:spacing w:line="360" w:lineRule="auto"/>
        <w:ind w:firstLine="420" w:firstLineChars="200"/>
        <w:rPr>
          <w:rFonts w:ascii="楷体" w:hAnsi="楷体" w:eastAsia="楷体"/>
          <w:color w:val="auto"/>
          <w:szCs w:val="21"/>
          <w:highlight w:val="none"/>
          <w:u w:val="none"/>
        </w:rPr>
      </w:pPr>
    </w:p>
    <w:p>
      <w:pPr>
        <w:spacing w:line="360" w:lineRule="auto"/>
        <w:ind w:firstLine="420" w:firstLineChars="200"/>
        <w:rPr>
          <w:rFonts w:ascii="楷体" w:hAnsi="楷体" w:eastAsia="楷体"/>
          <w:color w:val="auto"/>
          <w:szCs w:val="21"/>
          <w:highlight w:val="none"/>
          <w:u w:val="none"/>
        </w:rPr>
      </w:pPr>
      <w:r>
        <w:rPr>
          <w:rFonts w:hint="eastAsia" w:ascii="楷体" w:hAnsi="楷体" w:eastAsia="楷体"/>
          <w:color w:val="auto"/>
          <w:szCs w:val="21"/>
          <w:highlight w:val="none"/>
          <w:u w:val="none"/>
        </w:rPr>
        <w:t>募集机构（盖章）：</w:t>
      </w:r>
    </w:p>
    <w:p>
      <w:pPr>
        <w:spacing w:line="360" w:lineRule="auto"/>
        <w:ind w:firstLine="420" w:firstLineChars="200"/>
        <w:rPr>
          <w:rFonts w:ascii="楷体" w:hAnsi="楷体" w:eastAsia="楷体"/>
          <w:color w:val="auto"/>
          <w:szCs w:val="21"/>
          <w:highlight w:val="none"/>
          <w:u w:val="none"/>
        </w:rPr>
      </w:pPr>
    </w:p>
    <w:p>
      <w:pPr>
        <w:spacing w:line="360" w:lineRule="auto"/>
        <w:ind w:firstLine="420" w:firstLineChars="200"/>
        <w:rPr>
          <w:rFonts w:ascii="楷体" w:hAnsi="楷体" w:eastAsia="楷体"/>
          <w:color w:val="auto"/>
          <w:szCs w:val="21"/>
          <w:highlight w:val="none"/>
          <w:u w:val="none"/>
        </w:rPr>
      </w:pPr>
    </w:p>
    <w:p>
      <w:pPr>
        <w:spacing w:line="360" w:lineRule="auto"/>
        <w:ind w:firstLine="420" w:firstLineChars="200"/>
        <w:rPr>
          <w:rFonts w:ascii="楷体" w:hAnsi="楷体" w:eastAsia="楷体"/>
          <w:color w:val="auto"/>
          <w:szCs w:val="21"/>
          <w:highlight w:val="none"/>
          <w:u w:val="none"/>
        </w:rPr>
      </w:pPr>
      <w:r>
        <w:rPr>
          <w:rFonts w:hint="eastAsia" w:ascii="楷体" w:hAnsi="楷体" w:eastAsia="楷体"/>
          <w:color w:val="auto"/>
          <w:szCs w:val="21"/>
          <w:highlight w:val="none"/>
          <w:u w:val="none"/>
        </w:rPr>
        <w:t>日期：</w:t>
      </w:r>
    </w:p>
    <w:p>
      <w:pPr>
        <w:spacing w:line="360" w:lineRule="auto"/>
        <w:ind w:firstLine="420" w:firstLineChars="200"/>
        <w:rPr>
          <w:rFonts w:ascii="楷体" w:hAnsi="楷体" w:eastAsia="楷体"/>
          <w:color w:val="auto"/>
          <w:szCs w:val="21"/>
          <w:highlight w:val="none"/>
          <w:u w:val="none"/>
        </w:rPr>
      </w:pPr>
    </w:p>
    <w:p>
      <w:pPr>
        <w:widowControl/>
        <w:jc w:val="left"/>
        <w:rPr>
          <w:rFonts w:ascii="楷体" w:hAnsi="楷体" w:eastAsia="楷体"/>
          <w:color w:val="auto"/>
          <w:szCs w:val="21"/>
          <w:highlight w:val="none"/>
          <w:u w:val="none"/>
        </w:rPr>
      </w:pPr>
      <w:r>
        <w:rPr>
          <w:rFonts w:ascii="楷体" w:hAnsi="楷体" w:eastAsia="楷体"/>
          <w:b/>
          <w:bCs/>
          <w:color w:val="auto"/>
          <w:szCs w:val="21"/>
          <w:highlight w:val="none"/>
          <w:u w:val="none"/>
        </w:rPr>
        <w:br w:type="page"/>
      </w:r>
    </w:p>
    <w:p>
      <w:pPr>
        <w:pStyle w:val="4"/>
        <w:snapToGrid/>
        <w:spacing w:line="240" w:lineRule="auto"/>
        <w:jc w:val="left"/>
        <w:rPr>
          <w:rFonts w:ascii="楷体" w:hAnsi="楷体" w:eastAsia="楷体"/>
          <w:b w:val="0"/>
          <w:color w:val="auto"/>
          <w:sz w:val="24"/>
          <w:szCs w:val="24"/>
          <w:highlight w:val="none"/>
          <w:u w:val="none"/>
        </w:rPr>
      </w:pPr>
      <w:bookmarkStart w:id="87" w:name="_Toc482974552"/>
      <w:r>
        <w:rPr>
          <w:rFonts w:hint="eastAsia" w:ascii="楷体" w:hAnsi="楷体" w:eastAsia="楷体"/>
          <w:color w:val="auto"/>
          <w:sz w:val="24"/>
          <w:szCs w:val="24"/>
          <w:highlight w:val="none"/>
          <w:u w:val="none"/>
        </w:rPr>
        <w:t>附件二：基金销售代理协议及补充协议摘要</w:t>
      </w:r>
      <w:bookmarkEnd w:id="87"/>
    </w:p>
    <w:p>
      <w:pPr>
        <w:pStyle w:val="81"/>
        <w:rPr>
          <w:rFonts w:ascii="楷体" w:hAnsi="楷体" w:eastAsia="楷体"/>
          <w:color w:val="auto"/>
          <w:szCs w:val="21"/>
          <w:highlight w:val="none"/>
          <w:u w:val="none"/>
        </w:rPr>
      </w:pPr>
      <w:r>
        <w:rPr>
          <w:color w:val="auto"/>
          <w:szCs w:val="21"/>
          <w:highlight w:val="none"/>
          <w:u w:val="none"/>
        </w:rPr>
        <w:t>一、</w:t>
      </w:r>
      <w:r>
        <w:rPr>
          <w:rFonts w:hint="eastAsia"/>
          <w:color w:val="auto"/>
          <w:szCs w:val="21"/>
          <w:highlight w:val="none"/>
          <w:u w:val="none"/>
        </w:rPr>
        <w:t>协议双方当事人</w:t>
      </w:r>
    </w:p>
    <w:p>
      <w:pPr>
        <w:pStyle w:val="81"/>
        <w:rPr>
          <w:rFonts w:ascii="楷体" w:hAnsi="楷体" w:eastAsia="楷体"/>
          <w:color w:val="auto"/>
          <w:szCs w:val="21"/>
          <w:highlight w:val="none"/>
          <w:u w:val="none"/>
        </w:rPr>
      </w:pPr>
      <w:r>
        <w:rPr>
          <w:rFonts w:hint="eastAsia"/>
          <w:color w:val="auto"/>
          <w:szCs w:val="21"/>
          <w:highlight w:val="none"/>
          <w:u w:val="none"/>
        </w:rPr>
        <w:t>甲方（基金管理人）：广东睿璞投资管理有限公司</w:t>
      </w:r>
    </w:p>
    <w:p>
      <w:pPr>
        <w:pStyle w:val="81"/>
        <w:rPr>
          <w:rFonts w:ascii="楷体" w:hAnsi="楷体" w:eastAsia="楷体"/>
          <w:color w:val="auto"/>
          <w:szCs w:val="21"/>
          <w:highlight w:val="none"/>
          <w:u w:val="none"/>
        </w:rPr>
      </w:pPr>
      <w:r>
        <w:rPr>
          <w:rFonts w:hint="eastAsia"/>
          <w:color w:val="auto"/>
          <w:szCs w:val="21"/>
          <w:highlight w:val="none"/>
          <w:u w:val="none"/>
        </w:rPr>
        <w:t>地址</w:t>
      </w:r>
      <w:r>
        <w:rPr>
          <w:color w:val="auto"/>
          <w:szCs w:val="21"/>
          <w:highlight w:val="none"/>
          <w:u w:val="none"/>
        </w:rPr>
        <w:t>:</w:t>
      </w:r>
      <w:r>
        <w:rPr>
          <w:rFonts w:hint="eastAsia"/>
          <w:color w:val="auto"/>
          <w:szCs w:val="21"/>
          <w:highlight w:val="none"/>
          <w:u w:val="none"/>
        </w:rPr>
        <w:t>广州市天河区黄埔大道西</w:t>
      </w:r>
      <w:r>
        <w:rPr>
          <w:color w:val="auto"/>
          <w:szCs w:val="21"/>
          <w:highlight w:val="none"/>
          <w:u w:val="none"/>
        </w:rPr>
        <w:t>76号富</w:t>
      </w:r>
      <w:r>
        <w:rPr>
          <w:rFonts w:hint="eastAsia"/>
          <w:color w:val="auto"/>
          <w:szCs w:val="21"/>
          <w:highlight w:val="none"/>
          <w:u w:val="none"/>
        </w:rPr>
        <w:t>力盈隆广场</w:t>
      </w:r>
      <w:r>
        <w:rPr>
          <w:color w:val="auto"/>
          <w:szCs w:val="21"/>
          <w:highlight w:val="none"/>
          <w:u w:val="none"/>
        </w:rPr>
        <w:t>304室</w:t>
      </w:r>
    </w:p>
    <w:p>
      <w:pPr>
        <w:pStyle w:val="81"/>
        <w:rPr>
          <w:rFonts w:ascii="楷体" w:hAnsi="楷体" w:eastAsia="楷体"/>
          <w:color w:val="auto"/>
          <w:szCs w:val="21"/>
          <w:highlight w:val="none"/>
          <w:u w:val="none"/>
        </w:rPr>
      </w:pPr>
      <w:r>
        <w:rPr>
          <w:rFonts w:hint="eastAsia"/>
          <w:color w:val="auto"/>
          <w:szCs w:val="21"/>
          <w:highlight w:val="none"/>
          <w:u w:val="none"/>
        </w:rPr>
        <w:t>法定代表人：蔡海洪</w:t>
      </w:r>
    </w:p>
    <w:p>
      <w:pPr>
        <w:pStyle w:val="81"/>
        <w:rPr>
          <w:rFonts w:ascii="楷体" w:hAnsi="楷体" w:eastAsia="楷体"/>
          <w:color w:val="auto"/>
          <w:szCs w:val="21"/>
          <w:highlight w:val="none"/>
          <w:u w:val="none"/>
        </w:rPr>
      </w:pPr>
      <w:r>
        <w:rPr>
          <w:rFonts w:hint="eastAsia"/>
          <w:color w:val="auto"/>
          <w:szCs w:val="21"/>
          <w:highlight w:val="none"/>
          <w:u w:val="none"/>
        </w:rPr>
        <w:t>联系人：康荔忠</w:t>
      </w:r>
    </w:p>
    <w:p>
      <w:pPr>
        <w:pStyle w:val="81"/>
        <w:rPr>
          <w:rFonts w:ascii="楷体" w:hAnsi="楷体" w:eastAsia="楷体"/>
          <w:color w:val="auto"/>
          <w:szCs w:val="21"/>
          <w:highlight w:val="none"/>
          <w:u w:val="none"/>
        </w:rPr>
      </w:pPr>
      <w:r>
        <w:rPr>
          <w:rFonts w:hint="eastAsia"/>
          <w:color w:val="auto"/>
          <w:szCs w:val="21"/>
          <w:highlight w:val="none"/>
          <w:u w:val="none"/>
        </w:rPr>
        <w:t>乙方（代理销售机构）：安信证券股份有限公司</w:t>
      </w:r>
    </w:p>
    <w:p>
      <w:pPr>
        <w:pStyle w:val="81"/>
        <w:rPr>
          <w:rFonts w:ascii="楷体" w:hAnsi="楷体" w:eastAsia="楷体"/>
          <w:color w:val="auto"/>
          <w:szCs w:val="21"/>
          <w:highlight w:val="none"/>
          <w:u w:val="none"/>
        </w:rPr>
      </w:pPr>
      <w:r>
        <w:rPr>
          <w:rFonts w:hint="eastAsia"/>
          <w:color w:val="auto"/>
          <w:szCs w:val="21"/>
          <w:highlight w:val="none"/>
          <w:u w:val="none"/>
        </w:rPr>
        <w:t>注册地址：深圳市福田区金田路</w:t>
      </w:r>
      <w:r>
        <w:rPr>
          <w:color w:val="auto"/>
          <w:szCs w:val="21"/>
          <w:highlight w:val="none"/>
          <w:u w:val="none"/>
        </w:rPr>
        <w:t>4018号安联大厦35楼</w:t>
      </w:r>
    </w:p>
    <w:p>
      <w:pPr>
        <w:pStyle w:val="81"/>
        <w:rPr>
          <w:rFonts w:ascii="楷体" w:hAnsi="楷体" w:eastAsia="楷体"/>
          <w:color w:val="auto"/>
          <w:szCs w:val="21"/>
          <w:highlight w:val="none"/>
          <w:u w:val="none"/>
        </w:rPr>
      </w:pPr>
      <w:r>
        <w:rPr>
          <w:rFonts w:hint="eastAsia"/>
          <w:color w:val="auto"/>
          <w:szCs w:val="21"/>
          <w:highlight w:val="none"/>
          <w:u w:val="none"/>
        </w:rPr>
        <w:t>办公地址：深圳市福田区金田路</w:t>
      </w:r>
      <w:r>
        <w:rPr>
          <w:color w:val="auto"/>
          <w:szCs w:val="21"/>
          <w:highlight w:val="none"/>
          <w:u w:val="none"/>
        </w:rPr>
        <w:t>4018号安联大厦35楼</w:t>
      </w:r>
    </w:p>
    <w:p>
      <w:pPr>
        <w:pStyle w:val="81"/>
        <w:rPr>
          <w:rFonts w:ascii="楷体" w:hAnsi="楷体" w:eastAsia="楷体"/>
          <w:color w:val="auto"/>
          <w:szCs w:val="21"/>
          <w:highlight w:val="none"/>
          <w:u w:val="none"/>
        </w:rPr>
      </w:pPr>
      <w:r>
        <w:rPr>
          <w:rFonts w:hint="eastAsia"/>
          <w:color w:val="auto"/>
          <w:szCs w:val="21"/>
          <w:highlight w:val="none"/>
          <w:u w:val="none"/>
        </w:rPr>
        <w:t>法定代表人：王连志</w:t>
      </w:r>
    </w:p>
    <w:p>
      <w:pPr>
        <w:pStyle w:val="81"/>
        <w:rPr>
          <w:rFonts w:ascii="楷体" w:hAnsi="楷体" w:eastAsia="楷体"/>
          <w:color w:val="auto"/>
          <w:szCs w:val="21"/>
          <w:highlight w:val="none"/>
          <w:u w:val="none"/>
        </w:rPr>
      </w:pPr>
      <w:r>
        <w:rPr>
          <w:rFonts w:hint="eastAsia"/>
          <w:color w:val="auto"/>
          <w:szCs w:val="21"/>
          <w:highlight w:val="none"/>
          <w:u w:val="none"/>
        </w:rPr>
        <w:t>联系人：耿冠华</w:t>
      </w:r>
    </w:p>
    <w:p>
      <w:pPr>
        <w:pStyle w:val="81"/>
        <w:rPr>
          <w:rFonts w:ascii="楷体" w:hAnsi="楷体" w:eastAsia="楷体"/>
          <w:color w:val="auto"/>
          <w:szCs w:val="21"/>
          <w:highlight w:val="none"/>
          <w:u w:val="none"/>
        </w:rPr>
      </w:pPr>
      <w:r>
        <w:rPr>
          <w:color w:val="auto"/>
          <w:szCs w:val="21"/>
          <w:highlight w:val="none"/>
          <w:u w:val="none"/>
        </w:rPr>
        <w:t>二、协议的构成</w:t>
      </w:r>
    </w:p>
    <w:p>
      <w:pPr>
        <w:pStyle w:val="81"/>
        <w:rPr>
          <w:rFonts w:ascii="楷体" w:hAnsi="楷体" w:eastAsia="楷体"/>
          <w:color w:val="auto"/>
          <w:szCs w:val="21"/>
          <w:highlight w:val="none"/>
          <w:u w:val="none"/>
        </w:rPr>
      </w:pPr>
      <w:r>
        <w:rPr>
          <w:color w:val="auto"/>
          <w:szCs w:val="21"/>
          <w:highlight w:val="none"/>
          <w:u w:val="none"/>
        </w:rPr>
        <w:t>销售代理协议及补充协议</w:t>
      </w:r>
      <w:r>
        <w:rPr>
          <w:rFonts w:hint="eastAsia"/>
          <w:color w:val="auto"/>
          <w:szCs w:val="21"/>
          <w:highlight w:val="none"/>
          <w:u w:val="none"/>
        </w:rPr>
        <w:t>（以下简称：“本协议”）</w:t>
      </w:r>
      <w:r>
        <w:rPr>
          <w:color w:val="auto"/>
          <w:szCs w:val="21"/>
          <w:highlight w:val="none"/>
          <w:u w:val="none"/>
        </w:rPr>
        <w:t>由甲乙双方于    年   月签署的《广东睿璞投资管理有限公司产品销售代理协议》。</w:t>
      </w:r>
    </w:p>
    <w:p>
      <w:pPr>
        <w:pStyle w:val="81"/>
        <w:rPr>
          <w:rFonts w:ascii="楷体" w:hAnsi="楷体" w:eastAsia="楷体"/>
          <w:color w:val="auto"/>
          <w:szCs w:val="21"/>
          <w:highlight w:val="none"/>
          <w:u w:val="none"/>
        </w:rPr>
      </w:pPr>
      <w:r>
        <w:rPr>
          <w:color w:val="auto"/>
          <w:szCs w:val="21"/>
          <w:highlight w:val="none"/>
          <w:u w:val="none"/>
        </w:rPr>
        <w:t>三、</w:t>
      </w:r>
      <w:r>
        <w:rPr>
          <w:rFonts w:hint="eastAsia"/>
          <w:color w:val="auto"/>
          <w:szCs w:val="21"/>
          <w:highlight w:val="none"/>
          <w:u w:val="none"/>
        </w:rPr>
        <w:t>双方的权利和义务</w:t>
      </w:r>
    </w:p>
    <w:p>
      <w:pPr>
        <w:pStyle w:val="81"/>
        <w:rPr>
          <w:rFonts w:ascii="楷体" w:hAnsi="楷体" w:eastAsia="楷体"/>
          <w:color w:val="auto"/>
          <w:szCs w:val="21"/>
          <w:highlight w:val="none"/>
          <w:u w:val="none"/>
        </w:rPr>
      </w:pPr>
      <w:r>
        <w:rPr>
          <w:rFonts w:hint="eastAsia"/>
          <w:color w:val="auto"/>
          <w:szCs w:val="21"/>
          <w:highlight w:val="none"/>
          <w:u w:val="none"/>
        </w:rPr>
        <w:t>（一）甲方享有如下权利：</w:t>
      </w:r>
    </w:p>
    <w:p>
      <w:pPr>
        <w:pStyle w:val="81"/>
        <w:rPr>
          <w:rFonts w:ascii="楷体" w:hAnsi="楷体" w:eastAsia="楷体"/>
          <w:color w:val="auto"/>
          <w:szCs w:val="21"/>
          <w:highlight w:val="none"/>
          <w:u w:val="none"/>
        </w:rPr>
      </w:pPr>
      <w:r>
        <w:rPr>
          <w:color w:val="auto"/>
          <w:szCs w:val="21"/>
          <w:highlight w:val="none"/>
          <w:u w:val="none"/>
        </w:rPr>
        <w:t>1、</w:t>
      </w:r>
      <w:r>
        <w:rPr>
          <w:rFonts w:hint="eastAsia"/>
          <w:color w:val="auto"/>
          <w:szCs w:val="21"/>
          <w:highlight w:val="none"/>
          <w:u w:val="none"/>
        </w:rPr>
        <w:t>甲方有权根据相关法律法规及其他有关规定，委托乙方办理产品销售代理业务，以及按照本协议约定的条件和程序解除本协议。</w:t>
      </w:r>
    </w:p>
    <w:p>
      <w:pPr>
        <w:pStyle w:val="81"/>
        <w:rPr>
          <w:rFonts w:ascii="楷体" w:hAnsi="楷体" w:eastAsia="楷体"/>
          <w:color w:val="auto"/>
          <w:szCs w:val="21"/>
          <w:highlight w:val="none"/>
          <w:u w:val="none"/>
        </w:rPr>
      </w:pPr>
      <w:r>
        <w:rPr>
          <w:color w:val="auto"/>
          <w:szCs w:val="21"/>
          <w:highlight w:val="none"/>
          <w:u w:val="none"/>
        </w:rPr>
        <w:t>2、</w:t>
      </w:r>
      <w:r>
        <w:rPr>
          <w:rFonts w:hint="eastAsia"/>
          <w:color w:val="auto"/>
          <w:szCs w:val="21"/>
          <w:highlight w:val="none"/>
          <w:u w:val="none"/>
        </w:rPr>
        <w:t>甲方有权要求乙方严格按照产品合同、本协议及其补充协议的约定，办理产品销售代理有关事宜。</w:t>
      </w:r>
    </w:p>
    <w:p>
      <w:pPr>
        <w:pStyle w:val="81"/>
        <w:rPr>
          <w:color w:val="auto"/>
          <w:szCs w:val="21"/>
          <w:highlight w:val="none"/>
          <w:u w:val="none"/>
        </w:rPr>
      </w:pPr>
      <w:r>
        <w:rPr>
          <w:color w:val="auto"/>
          <w:szCs w:val="21"/>
          <w:highlight w:val="none"/>
          <w:u w:val="none"/>
        </w:rPr>
        <w:t>3、</w:t>
      </w:r>
      <w:r>
        <w:rPr>
          <w:rFonts w:hint="eastAsia"/>
          <w:color w:val="auto"/>
          <w:szCs w:val="21"/>
          <w:highlight w:val="none"/>
          <w:u w:val="none"/>
        </w:rPr>
        <w:t>对乙方在办理产品销售代理业务期间发生的问题、争议、纠纷，乙方应及时通知甲方。若相关问题、争议、纠纷系由乙方的原因导致的，则甲方有权要求乙方作出书面解释并要求乙方采取适当措施妥善解决相关问题。</w:t>
      </w:r>
    </w:p>
    <w:p>
      <w:pPr>
        <w:pStyle w:val="81"/>
        <w:rPr>
          <w:color w:val="auto"/>
          <w:szCs w:val="21"/>
          <w:highlight w:val="none"/>
          <w:u w:val="none"/>
        </w:rPr>
      </w:pPr>
      <w:r>
        <w:rPr>
          <w:color w:val="auto"/>
          <w:szCs w:val="21"/>
          <w:highlight w:val="none"/>
          <w:u w:val="none"/>
        </w:rPr>
        <w:t>4、</w:t>
      </w:r>
      <w:r>
        <w:rPr>
          <w:rFonts w:hint="eastAsia"/>
          <w:color w:val="auto"/>
          <w:szCs w:val="21"/>
          <w:highlight w:val="none"/>
          <w:u w:val="none"/>
        </w:rPr>
        <w:t>对因乙方原因而给甲方造成的损失，甲方有权要求乙方承担相应的责任。</w:t>
      </w:r>
    </w:p>
    <w:p>
      <w:pPr>
        <w:pStyle w:val="81"/>
        <w:rPr>
          <w:rFonts w:ascii="楷体" w:hAnsi="楷体" w:eastAsia="楷体"/>
          <w:color w:val="auto"/>
          <w:szCs w:val="21"/>
          <w:highlight w:val="none"/>
          <w:u w:val="none"/>
        </w:rPr>
      </w:pPr>
      <w:r>
        <w:rPr>
          <w:color w:val="auto"/>
          <w:szCs w:val="21"/>
          <w:highlight w:val="none"/>
          <w:u w:val="none"/>
        </w:rPr>
        <w:t>5、</w:t>
      </w:r>
      <w:r>
        <w:rPr>
          <w:rFonts w:hint="eastAsia"/>
          <w:color w:val="auto"/>
          <w:szCs w:val="21"/>
          <w:highlight w:val="none"/>
          <w:u w:val="none"/>
        </w:rPr>
        <w:t>甲方有权获取乙方保管的代销客户的身份资料、客户适当性审查、反洗钱审查、风险调查评估结果、冷静期确认书、回访确认书等销售材料。</w:t>
      </w:r>
    </w:p>
    <w:p>
      <w:pPr>
        <w:pStyle w:val="81"/>
        <w:rPr>
          <w:rFonts w:ascii="楷体" w:hAnsi="楷体" w:eastAsia="楷体"/>
          <w:color w:val="auto"/>
          <w:szCs w:val="21"/>
          <w:highlight w:val="none"/>
          <w:u w:val="none"/>
        </w:rPr>
      </w:pPr>
      <w:r>
        <w:rPr>
          <w:color w:val="auto"/>
          <w:szCs w:val="21"/>
          <w:highlight w:val="none"/>
          <w:u w:val="none"/>
        </w:rPr>
        <w:t>6、</w:t>
      </w:r>
      <w:r>
        <w:rPr>
          <w:rFonts w:hint="eastAsia"/>
          <w:color w:val="auto"/>
          <w:szCs w:val="21"/>
          <w:highlight w:val="none"/>
          <w:u w:val="none"/>
        </w:rPr>
        <w:t>相关法律法规、产品合同以及本协议约定的其他权利。</w:t>
      </w:r>
    </w:p>
    <w:p>
      <w:pPr>
        <w:pStyle w:val="81"/>
        <w:rPr>
          <w:rFonts w:ascii="楷体" w:hAnsi="楷体" w:eastAsia="楷体"/>
          <w:color w:val="auto"/>
          <w:szCs w:val="21"/>
          <w:highlight w:val="none"/>
          <w:u w:val="none"/>
        </w:rPr>
      </w:pPr>
      <w:r>
        <w:rPr>
          <w:rFonts w:hint="eastAsia"/>
          <w:color w:val="auto"/>
          <w:szCs w:val="21"/>
          <w:highlight w:val="none"/>
          <w:u w:val="none"/>
        </w:rPr>
        <w:t>（二）甲方负有如下义务：</w:t>
      </w:r>
    </w:p>
    <w:p>
      <w:pPr>
        <w:pStyle w:val="81"/>
        <w:rPr>
          <w:rFonts w:ascii="楷体" w:hAnsi="楷体" w:eastAsia="楷体"/>
          <w:color w:val="auto"/>
          <w:szCs w:val="21"/>
          <w:highlight w:val="none"/>
          <w:u w:val="none"/>
        </w:rPr>
      </w:pPr>
      <w:r>
        <w:rPr>
          <w:color w:val="auto"/>
          <w:szCs w:val="21"/>
          <w:highlight w:val="none"/>
          <w:u w:val="none"/>
        </w:rPr>
        <w:t>1、</w:t>
      </w:r>
      <w:r>
        <w:rPr>
          <w:rFonts w:hint="eastAsia"/>
          <w:color w:val="auto"/>
          <w:szCs w:val="21"/>
          <w:highlight w:val="none"/>
          <w:u w:val="none"/>
        </w:rPr>
        <w:t>向乙方提供与产品销售代理业务有关的发行产品资质文件，发行依据，基本性质，产品合同，公告，资讯，投资安排、期限，锁定期，提前终止的可能性、终止条件，基础资产的状况，担保品或其他信用保障及其价值情况，风险收益特征，产品投资者购买、持有或出售产品或服务的成本、费用和可能的损失等销售文件和资料信息，并保证其真实性、准确性、完整性和及时性。</w:t>
      </w:r>
    </w:p>
    <w:p>
      <w:pPr>
        <w:pStyle w:val="81"/>
        <w:rPr>
          <w:rFonts w:ascii="楷体" w:hAnsi="楷体" w:eastAsia="楷体"/>
          <w:color w:val="auto"/>
          <w:szCs w:val="21"/>
          <w:highlight w:val="none"/>
          <w:u w:val="none"/>
        </w:rPr>
      </w:pPr>
      <w:r>
        <w:rPr>
          <w:color w:val="auto"/>
          <w:szCs w:val="21"/>
          <w:highlight w:val="none"/>
          <w:u w:val="none"/>
        </w:rPr>
        <w:t>2、</w:t>
      </w:r>
      <w:r>
        <w:rPr>
          <w:rFonts w:hint="eastAsia"/>
          <w:color w:val="auto"/>
          <w:szCs w:val="21"/>
          <w:highlight w:val="none"/>
          <w:u w:val="none"/>
        </w:rPr>
        <w:t>确认产品依法发行、有明确的投资安排和风险管控措施、风险收益特征清晰且可以对其风险状况做出合理判断。</w:t>
      </w:r>
    </w:p>
    <w:p>
      <w:pPr>
        <w:pStyle w:val="81"/>
        <w:rPr>
          <w:rFonts w:ascii="楷体" w:hAnsi="楷体" w:eastAsia="楷体"/>
          <w:color w:val="auto"/>
          <w:szCs w:val="21"/>
          <w:highlight w:val="none"/>
          <w:u w:val="none"/>
        </w:rPr>
      </w:pPr>
      <w:r>
        <w:rPr>
          <w:color w:val="auto"/>
          <w:szCs w:val="21"/>
          <w:highlight w:val="none"/>
          <w:u w:val="none"/>
        </w:rPr>
        <w:t>3、</w:t>
      </w:r>
      <w:r>
        <w:rPr>
          <w:rFonts w:hint="eastAsia"/>
          <w:color w:val="auto"/>
          <w:szCs w:val="21"/>
          <w:highlight w:val="none"/>
          <w:u w:val="none"/>
        </w:rPr>
        <w:t>向乙方及产品投资者充分说明产品的信用风险、市场风险、流动性风险等主要风险特征，如果产品具有复杂的结构、不易估值、流动性较低、透明度较低、损失可能超过购买支出或者不易理解的，甲方还应向乙方及产品投资者进一步提供资料信息，包括但不限于产品的结构、定价方式和杠杆情况、产品信用风险的性质和复杂程度、产品投资者是否会被要求追加后续投资或承担后续债务、产品投资者可能产生的本金损失和最大损失等重大风险因素资料信息，保证资料信息的真实性、准确性、完整性和及时性，并应当以简明、易懂的文字向乙方及产品投资者作出有针对性的书面说明。</w:t>
      </w:r>
    </w:p>
    <w:p>
      <w:pPr>
        <w:pStyle w:val="81"/>
        <w:rPr>
          <w:rFonts w:ascii="楷体" w:hAnsi="楷体" w:eastAsia="楷体"/>
          <w:color w:val="auto"/>
          <w:szCs w:val="21"/>
          <w:highlight w:val="none"/>
          <w:u w:val="none"/>
        </w:rPr>
      </w:pPr>
      <w:r>
        <w:rPr>
          <w:rFonts w:hint="eastAsia"/>
          <w:color w:val="auto"/>
          <w:szCs w:val="21"/>
          <w:highlight w:val="none"/>
          <w:u w:val="none"/>
        </w:rPr>
        <w:t>按照《私募投资基金募集行为管理办法》需将本协议部分内容作为产品合同附件时，甲方要确保该产品合同附件与本协议内容保持一致。</w:t>
      </w:r>
    </w:p>
    <w:p>
      <w:pPr>
        <w:pStyle w:val="81"/>
        <w:rPr>
          <w:rFonts w:ascii="楷体" w:hAnsi="楷体" w:eastAsia="楷体"/>
          <w:color w:val="auto"/>
          <w:szCs w:val="21"/>
          <w:highlight w:val="none"/>
          <w:u w:val="none"/>
        </w:rPr>
      </w:pPr>
      <w:r>
        <w:rPr>
          <w:color w:val="auto"/>
          <w:szCs w:val="21"/>
          <w:highlight w:val="none"/>
          <w:u w:val="none"/>
        </w:rPr>
        <w:t>4、</w:t>
      </w:r>
      <w:r>
        <w:rPr>
          <w:rFonts w:hint="eastAsia"/>
          <w:color w:val="auto"/>
          <w:szCs w:val="21"/>
          <w:highlight w:val="none"/>
          <w:u w:val="none"/>
        </w:rPr>
        <w:t>及时向乙方及产品投资者进行信息披露及风险揭示。</w:t>
      </w:r>
    </w:p>
    <w:p>
      <w:pPr>
        <w:pStyle w:val="81"/>
        <w:rPr>
          <w:rFonts w:ascii="楷体" w:hAnsi="楷体" w:eastAsia="楷体"/>
          <w:color w:val="auto"/>
          <w:szCs w:val="21"/>
          <w:highlight w:val="none"/>
          <w:u w:val="none"/>
        </w:rPr>
      </w:pPr>
      <w:r>
        <w:rPr>
          <w:color w:val="auto"/>
          <w:szCs w:val="21"/>
          <w:highlight w:val="none"/>
          <w:u w:val="none"/>
        </w:rPr>
        <w:t>5、</w:t>
      </w:r>
      <w:r>
        <w:rPr>
          <w:rFonts w:hint="eastAsia"/>
          <w:color w:val="auto"/>
          <w:szCs w:val="21"/>
          <w:highlight w:val="none"/>
          <w:u w:val="none"/>
        </w:rPr>
        <w:t>按照本协议或补充协议约定的标准、方式和时间，给付乙方销售代理费用及其他费用，如实核算、记账，并依法纳税。</w:t>
      </w:r>
    </w:p>
    <w:p>
      <w:pPr>
        <w:pStyle w:val="81"/>
        <w:rPr>
          <w:rFonts w:ascii="楷体" w:hAnsi="楷体" w:eastAsia="楷体"/>
          <w:color w:val="auto"/>
          <w:szCs w:val="21"/>
          <w:highlight w:val="none"/>
          <w:u w:val="none"/>
        </w:rPr>
      </w:pPr>
      <w:r>
        <w:rPr>
          <w:color w:val="auto"/>
          <w:szCs w:val="21"/>
          <w:highlight w:val="none"/>
          <w:u w:val="none"/>
        </w:rPr>
        <w:t>6、</w:t>
      </w:r>
      <w:r>
        <w:rPr>
          <w:rFonts w:hint="eastAsia"/>
          <w:color w:val="auto"/>
          <w:szCs w:val="21"/>
          <w:highlight w:val="none"/>
          <w:u w:val="none"/>
        </w:rPr>
        <w:t>对保密信息负有保密义务，并且该保密义务不因本协议的终止而终止。在任何时候，除经乙方事先书面许可或法律法规规定或监管部门要求的情况下，甲方均不得以任何方式披露与第三方，亦不得将该等保密信息用于除履行本协议以外的其他目的。</w:t>
      </w:r>
    </w:p>
    <w:p>
      <w:pPr>
        <w:pStyle w:val="81"/>
        <w:rPr>
          <w:rFonts w:ascii="楷体" w:hAnsi="楷体" w:eastAsia="楷体"/>
          <w:color w:val="auto"/>
          <w:szCs w:val="21"/>
          <w:highlight w:val="none"/>
          <w:u w:val="none"/>
        </w:rPr>
      </w:pPr>
      <w:r>
        <w:rPr>
          <w:color w:val="auto"/>
          <w:szCs w:val="21"/>
          <w:highlight w:val="none"/>
          <w:u w:val="none"/>
        </w:rPr>
        <w:t>7、</w:t>
      </w:r>
      <w:r>
        <w:rPr>
          <w:rFonts w:hint="eastAsia"/>
          <w:color w:val="auto"/>
          <w:szCs w:val="21"/>
          <w:highlight w:val="none"/>
          <w:u w:val="none"/>
        </w:rPr>
        <w:t>根据乙方的指令及产品合同约定受理并及时处理产品业务，及时、足额向产品投资者支付赎回款项和应分配的产品收益。</w:t>
      </w:r>
    </w:p>
    <w:p>
      <w:pPr>
        <w:pStyle w:val="81"/>
        <w:rPr>
          <w:color w:val="auto"/>
          <w:szCs w:val="21"/>
          <w:highlight w:val="none"/>
          <w:u w:val="none"/>
        </w:rPr>
      </w:pPr>
      <w:r>
        <w:rPr>
          <w:color w:val="auto"/>
          <w:szCs w:val="21"/>
          <w:highlight w:val="none"/>
          <w:u w:val="none"/>
        </w:rPr>
        <w:t>8、</w:t>
      </w:r>
      <w:r>
        <w:rPr>
          <w:rFonts w:hint="eastAsia"/>
          <w:color w:val="auto"/>
          <w:szCs w:val="21"/>
          <w:highlight w:val="none"/>
          <w:u w:val="none"/>
        </w:rPr>
        <w:t>按照约定及时、准确地向乙方传输数据、信息；</w:t>
      </w:r>
    </w:p>
    <w:p>
      <w:pPr>
        <w:pStyle w:val="81"/>
        <w:rPr>
          <w:color w:val="auto"/>
          <w:szCs w:val="21"/>
          <w:highlight w:val="none"/>
          <w:u w:val="none"/>
        </w:rPr>
      </w:pPr>
      <w:r>
        <w:rPr>
          <w:color w:val="auto"/>
          <w:szCs w:val="21"/>
          <w:highlight w:val="none"/>
          <w:u w:val="none"/>
        </w:rPr>
        <w:t>9、对在产品运作中发生的可能影响产品销售代理业务的事项，甲方应及时通知乙方。</w:t>
      </w:r>
    </w:p>
    <w:p>
      <w:pPr>
        <w:pStyle w:val="81"/>
        <w:rPr>
          <w:color w:val="auto"/>
          <w:szCs w:val="21"/>
          <w:highlight w:val="none"/>
          <w:u w:val="none"/>
        </w:rPr>
      </w:pPr>
      <w:r>
        <w:rPr>
          <w:color w:val="auto"/>
          <w:szCs w:val="21"/>
          <w:highlight w:val="none"/>
          <w:u w:val="none"/>
        </w:rPr>
        <w:t>10、根据乙方的合理要求，支持、配合乙方的销售代理业务培训工作。</w:t>
      </w:r>
    </w:p>
    <w:p>
      <w:pPr>
        <w:pStyle w:val="81"/>
        <w:rPr>
          <w:color w:val="auto"/>
          <w:szCs w:val="21"/>
          <w:highlight w:val="none"/>
          <w:u w:val="none"/>
        </w:rPr>
      </w:pPr>
      <w:r>
        <w:rPr>
          <w:color w:val="auto"/>
          <w:szCs w:val="21"/>
          <w:highlight w:val="none"/>
          <w:u w:val="none"/>
        </w:rPr>
        <w:t>11、根据产品投资者或乙方的查询要求，及时提供产品相关信息；</w:t>
      </w:r>
    </w:p>
    <w:p>
      <w:pPr>
        <w:pStyle w:val="81"/>
        <w:rPr>
          <w:rFonts w:ascii="楷体" w:hAnsi="楷体" w:eastAsia="楷体"/>
          <w:color w:val="auto"/>
          <w:szCs w:val="21"/>
          <w:highlight w:val="none"/>
          <w:u w:val="none"/>
        </w:rPr>
      </w:pPr>
      <w:r>
        <w:rPr>
          <w:color w:val="auto"/>
          <w:szCs w:val="21"/>
          <w:highlight w:val="none"/>
          <w:u w:val="none"/>
        </w:rPr>
        <w:t>12、对乙方在办理产品销售代理业务期间发生的问题、争议、纠纷需要甲方提供协助的，甲方应当予以协助。</w:t>
      </w:r>
      <w:r>
        <w:rPr>
          <w:rFonts w:hint="eastAsia"/>
          <w:color w:val="auto"/>
          <w:szCs w:val="21"/>
          <w:highlight w:val="none"/>
          <w:u w:val="none"/>
        </w:rPr>
        <w:t>若相关问题、争议、纠纷系由甲方的原因导致的（包括但不限于出现甲方对产品投资者违约的情况，及因甲方产品设计、运营和甲方提供的信息不真实、不准确、不完整而产生的纠纷等），则甲方应当负责解决并承担全部责任。</w:t>
      </w:r>
    </w:p>
    <w:p>
      <w:pPr>
        <w:pStyle w:val="81"/>
        <w:rPr>
          <w:rFonts w:ascii="楷体" w:hAnsi="楷体" w:eastAsia="楷体"/>
          <w:color w:val="auto"/>
          <w:szCs w:val="21"/>
          <w:highlight w:val="none"/>
          <w:u w:val="none"/>
        </w:rPr>
      </w:pPr>
      <w:r>
        <w:rPr>
          <w:color w:val="auto"/>
          <w:szCs w:val="21"/>
          <w:highlight w:val="none"/>
          <w:u w:val="none"/>
        </w:rPr>
        <w:t>13、履行作为管理人应履行的反洗钱义务。</w:t>
      </w:r>
    </w:p>
    <w:p>
      <w:pPr>
        <w:pStyle w:val="81"/>
        <w:rPr>
          <w:rFonts w:ascii="楷体" w:hAnsi="楷体" w:eastAsia="楷体"/>
          <w:color w:val="auto"/>
          <w:szCs w:val="21"/>
          <w:highlight w:val="none"/>
          <w:u w:val="none"/>
        </w:rPr>
      </w:pPr>
      <w:r>
        <w:rPr>
          <w:color w:val="auto"/>
          <w:szCs w:val="21"/>
          <w:highlight w:val="none"/>
          <w:u w:val="none"/>
        </w:rPr>
        <w:t>14、应制</w:t>
      </w:r>
      <w:r>
        <w:rPr>
          <w:rFonts w:hint="eastAsia"/>
          <w:color w:val="auto"/>
          <w:szCs w:val="21"/>
          <w:highlight w:val="none"/>
          <w:u w:val="none"/>
        </w:rPr>
        <w:t>定出现甲方对客户违约情况下的应急安排和处置预案。</w:t>
      </w:r>
    </w:p>
    <w:p>
      <w:pPr>
        <w:pStyle w:val="81"/>
        <w:rPr>
          <w:rFonts w:ascii="楷体" w:hAnsi="楷体" w:eastAsia="楷体"/>
          <w:color w:val="auto"/>
          <w:szCs w:val="21"/>
          <w:highlight w:val="none"/>
          <w:u w:val="none"/>
        </w:rPr>
      </w:pPr>
      <w:r>
        <w:rPr>
          <w:color w:val="auto"/>
          <w:szCs w:val="21"/>
          <w:highlight w:val="none"/>
          <w:u w:val="none"/>
        </w:rPr>
        <w:t>15、确保产品符合法律法规规定，对其合法合</w:t>
      </w:r>
      <w:r>
        <w:rPr>
          <w:rFonts w:hint="eastAsia"/>
          <w:color w:val="auto"/>
          <w:szCs w:val="21"/>
          <w:highlight w:val="none"/>
          <w:u w:val="none"/>
        </w:rPr>
        <w:t>规性承担责任。</w:t>
      </w:r>
    </w:p>
    <w:p>
      <w:pPr>
        <w:pStyle w:val="81"/>
        <w:rPr>
          <w:rFonts w:ascii="楷体" w:hAnsi="楷体" w:eastAsia="楷体"/>
          <w:color w:val="auto"/>
          <w:szCs w:val="21"/>
          <w:highlight w:val="none"/>
          <w:u w:val="none"/>
        </w:rPr>
      </w:pPr>
      <w:r>
        <w:rPr>
          <w:color w:val="auto"/>
          <w:szCs w:val="21"/>
          <w:highlight w:val="none"/>
          <w:u w:val="none"/>
        </w:rPr>
        <w:t>16、相关法律法规、产品合同及本协议约定的其他义务。</w:t>
      </w:r>
    </w:p>
    <w:p>
      <w:pPr>
        <w:pStyle w:val="81"/>
        <w:rPr>
          <w:rFonts w:ascii="楷体" w:hAnsi="楷体" w:eastAsia="楷体"/>
          <w:color w:val="auto"/>
          <w:szCs w:val="21"/>
          <w:highlight w:val="none"/>
          <w:u w:val="none"/>
        </w:rPr>
      </w:pPr>
      <w:r>
        <w:rPr>
          <w:rFonts w:hint="eastAsia"/>
          <w:color w:val="auto"/>
          <w:szCs w:val="21"/>
          <w:highlight w:val="none"/>
          <w:u w:val="none"/>
        </w:rPr>
        <w:t>（三）乙方享有如下权利：</w:t>
      </w:r>
    </w:p>
    <w:p>
      <w:pPr>
        <w:pStyle w:val="81"/>
        <w:rPr>
          <w:rFonts w:ascii="楷体" w:hAnsi="楷体" w:eastAsia="楷体"/>
          <w:color w:val="auto"/>
          <w:szCs w:val="21"/>
          <w:highlight w:val="none"/>
          <w:u w:val="none"/>
        </w:rPr>
      </w:pPr>
      <w:r>
        <w:rPr>
          <w:color w:val="auto"/>
          <w:szCs w:val="21"/>
          <w:highlight w:val="none"/>
          <w:u w:val="none"/>
        </w:rPr>
        <w:t>1、</w:t>
      </w:r>
      <w:r>
        <w:rPr>
          <w:rFonts w:hint="eastAsia"/>
          <w:color w:val="auto"/>
          <w:szCs w:val="21"/>
          <w:highlight w:val="none"/>
          <w:u w:val="none"/>
        </w:rPr>
        <w:t>乙方有权在本协议约定的范围内，根据有关法律法规、产品合同和甲方制定并不时修订的产品业务规则、资料等，制定业务流程，并在与甲方协商的基础上，依法独立确定乙方的销售策略、销售网点安排，办理产品销售代理业务。</w:t>
      </w:r>
    </w:p>
    <w:p>
      <w:pPr>
        <w:pStyle w:val="81"/>
        <w:rPr>
          <w:rFonts w:ascii="楷体" w:hAnsi="楷体" w:eastAsia="楷体"/>
          <w:color w:val="auto"/>
          <w:szCs w:val="21"/>
          <w:highlight w:val="none"/>
          <w:u w:val="none"/>
        </w:rPr>
      </w:pPr>
      <w:r>
        <w:rPr>
          <w:color w:val="auto"/>
          <w:szCs w:val="21"/>
          <w:highlight w:val="none"/>
          <w:u w:val="none"/>
        </w:rPr>
        <w:t>2、</w:t>
      </w:r>
      <w:r>
        <w:rPr>
          <w:rFonts w:hint="eastAsia"/>
          <w:color w:val="auto"/>
          <w:szCs w:val="21"/>
          <w:highlight w:val="none"/>
          <w:u w:val="none"/>
        </w:rPr>
        <w:t>乙方有权按照本协议及补充协议约定的标准、方式和时间，取得产品销售代理费用及其他费用。</w:t>
      </w:r>
    </w:p>
    <w:p>
      <w:pPr>
        <w:pStyle w:val="81"/>
        <w:rPr>
          <w:rFonts w:ascii="楷体" w:hAnsi="楷体" w:eastAsia="楷体"/>
          <w:color w:val="auto"/>
          <w:szCs w:val="21"/>
          <w:highlight w:val="none"/>
          <w:u w:val="none"/>
        </w:rPr>
      </w:pPr>
      <w:r>
        <w:rPr>
          <w:color w:val="auto"/>
          <w:szCs w:val="21"/>
          <w:highlight w:val="none"/>
          <w:u w:val="none"/>
        </w:rPr>
        <w:t>3、</w:t>
      </w:r>
      <w:r>
        <w:rPr>
          <w:rFonts w:hint="eastAsia"/>
          <w:color w:val="auto"/>
          <w:szCs w:val="21"/>
          <w:highlight w:val="none"/>
          <w:u w:val="none"/>
        </w:rPr>
        <w:t>在符合相关法律法规、产品合同的前提下，乙方有权根据对于产品风险做出的评价结果决定向产品投资者推介产品的宣传和销售政策。</w:t>
      </w:r>
    </w:p>
    <w:p>
      <w:pPr>
        <w:pStyle w:val="81"/>
        <w:rPr>
          <w:color w:val="auto"/>
          <w:szCs w:val="21"/>
          <w:highlight w:val="none"/>
          <w:u w:val="none"/>
        </w:rPr>
      </w:pPr>
      <w:r>
        <w:rPr>
          <w:color w:val="auto"/>
          <w:szCs w:val="21"/>
          <w:highlight w:val="none"/>
          <w:u w:val="none"/>
        </w:rPr>
        <w:t>4、</w:t>
      </w:r>
      <w:r>
        <w:rPr>
          <w:rFonts w:hint="eastAsia"/>
          <w:color w:val="auto"/>
          <w:szCs w:val="21"/>
          <w:highlight w:val="none"/>
          <w:u w:val="none"/>
        </w:rPr>
        <w:t>乙方有权自主选择销售甲方产品以外的其他产品。</w:t>
      </w:r>
    </w:p>
    <w:p>
      <w:pPr>
        <w:pStyle w:val="81"/>
        <w:rPr>
          <w:color w:val="auto"/>
          <w:szCs w:val="21"/>
          <w:highlight w:val="none"/>
          <w:u w:val="none"/>
        </w:rPr>
      </w:pPr>
      <w:r>
        <w:rPr>
          <w:color w:val="auto"/>
          <w:szCs w:val="21"/>
          <w:highlight w:val="none"/>
          <w:u w:val="none"/>
        </w:rPr>
        <w:t>5、</w:t>
      </w:r>
      <w:r>
        <w:rPr>
          <w:rFonts w:hint="eastAsia"/>
          <w:color w:val="auto"/>
          <w:szCs w:val="21"/>
          <w:highlight w:val="none"/>
          <w:u w:val="none"/>
        </w:rPr>
        <w:t>乙方有权按照本协议约定的条件和程序解除本协议。</w:t>
      </w:r>
    </w:p>
    <w:p>
      <w:pPr>
        <w:pStyle w:val="81"/>
        <w:rPr>
          <w:color w:val="auto"/>
          <w:szCs w:val="21"/>
          <w:highlight w:val="none"/>
          <w:u w:val="none"/>
        </w:rPr>
      </w:pPr>
      <w:r>
        <w:rPr>
          <w:color w:val="auto"/>
          <w:szCs w:val="21"/>
          <w:highlight w:val="none"/>
          <w:u w:val="none"/>
        </w:rPr>
        <w:t>6、</w:t>
      </w:r>
      <w:r>
        <w:rPr>
          <w:rFonts w:hint="eastAsia"/>
          <w:color w:val="auto"/>
          <w:szCs w:val="21"/>
          <w:highlight w:val="none"/>
          <w:u w:val="none"/>
        </w:rPr>
        <w:t>对因甲方责任而给乙方造成的损失，乙方有权要求甲方承担相应的责任。</w:t>
      </w:r>
    </w:p>
    <w:p>
      <w:pPr>
        <w:pStyle w:val="81"/>
        <w:rPr>
          <w:color w:val="auto"/>
          <w:szCs w:val="21"/>
          <w:highlight w:val="none"/>
          <w:u w:val="none"/>
        </w:rPr>
      </w:pPr>
      <w:r>
        <w:rPr>
          <w:color w:val="auto"/>
          <w:szCs w:val="21"/>
          <w:highlight w:val="none"/>
          <w:u w:val="none"/>
        </w:rPr>
        <w:t>7、</w:t>
      </w:r>
      <w:r>
        <w:rPr>
          <w:rFonts w:hint="eastAsia"/>
          <w:color w:val="auto"/>
          <w:szCs w:val="21"/>
          <w:highlight w:val="none"/>
          <w:u w:val="none"/>
        </w:rPr>
        <w:t>相关法律法规及本协议约定的其他权利。</w:t>
      </w:r>
    </w:p>
    <w:p>
      <w:pPr>
        <w:pStyle w:val="81"/>
        <w:rPr>
          <w:color w:val="auto"/>
          <w:szCs w:val="21"/>
          <w:highlight w:val="none"/>
          <w:u w:val="none"/>
        </w:rPr>
      </w:pPr>
      <w:r>
        <w:rPr>
          <w:rFonts w:hint="eastAsia"/>
          <w:color w:val="auto"/>
          <w:szCs w:val="21"/>
          <w:highlight w:val="none"/>
          <w:u w:val="none"/>
        </w:rPr>
        <w:t>（四）乙方负有如下义务：</w:t>
      </w:r>
    </w:p>
    <w:p>
      <w:pPr>
        <w:pStyle w:val="81"/>
        <w:rPr>
          <w:color w:val="auto"/>
          <w:szCs w:val="21"/>
          <w:highlight w:val="none"/>
          <w:u w:val="none"/>
        </w:rPr>
      </w:pPr>
      <w:r>
        <w:rPr>
          <w:color w:val="auto"/>
          <w:szCs w:val="21"/>
          <w:highlight w:val="none"/>
          <w:u w:val="none"/>
        </w:rPr>
        <w:t>1、</w:t>
      </w:r>
      <w:r>
        <w:rPr>
          <w:rFonts w:hint="eastAsia"/>
          <w:color w:val="auto"/>
          <w:szCs w:val="21"/>
          <w:highlight w:val="none"/>
          <w:u w:val="none"/>
        </w:rPr>
        <w:t>遵守相关法律法规、产品合同及本协议的约定，办理产品销售代理业务，勤勉、尽责地履行销售代理人的职责。</w:t>
      </w:r>
    </w:p>
    <w:p>
      <w:pPr>
        <w:pStyle w:val="81"/>
        <w:rPr>
          <w:rFonts w:ascii="楷体" w:hAnsi="楷体" w:eastAsia="楷体"/>
          <w:color w:val="auto"/>
          <w:szCs w:val="21"/>
          <w:highlight w:val="none"/>
          <w:u w:val="none"/>
        </w:rPr>
      </w:pPr>
      <w:r>
        <w:rPr>
          <w:color w:val="auto"/>
          <w:szCs w:val="21"/>
          <w:highlight w:val="none"/>
          <w:u w:val="none"/>
        </w:rPr>
        <w:t>2、</w:t>
      </w:r>
      <w:r>
        <w:rPr>
          <w:rFonts w:hint="eastAsia"/>
          <w:color w:val="auto"/>
          <w:szCs w:val="21"/>
          <w:highlight w:val="none"/>
          <w:u w:val="none"/>
        </w:rPr>
        <w:t>采取有效手段和方式，保障产品销售代理业务的正常、高效进行。</w:t>
      </w:r>
    </w:p>
    <w:p>
      <w:pPr>
        <w:pStyle w:val="81"/>
        <w:rPr>
          <w:rFonts w:ascii="楷体" w:hAnsi="楷体" w:eastAsia="楷体"/>
          <w:color w:val="auto"/>
          <w:szCs w:val="21"/>
          <w:highlight w:val="none"/>
          <w:u w:val="none"/>
        </w:rPr>
      </w:pPr>
      <w:r>
        <w:rPr>
          <w:color w:val="auto"/>
          <w:szCs w:val="21"/>
          <w:highlight w:val="none"/>
          <w:u w:val="none"/>
        </w:rPr>
        <w:t>3、</w:t>
      </w:r>
      <w:r>
        <w:rPr>
          <w:rFonts w:hint="eastAsia"/>
          <w:color w:val="auto"/>
          <w:szCs w:val="21"/>
          <w:highlight w:val="none"/>
          <w:u w:val="none"/>
        </w:rPr>
        <w:t>对保密信息负有保密义务，并且该保密义务不因本协议的终止而终止。在任何时候，除经甲方事先书面许可、法律法规规定或有权机关要求，乙方均不得以任何方式披露给第三方，亦不得将该等保密信息用于除履行本协议以外的其他目的。</w:t>
      </w:r>
    </w:p>
    <w:p>
      <w:pPr>
        <w:pStyle w:val="81"/>
        <w:rPr>
          <w:rFonts w:ascii="楷体" w:hAnsi="楷体" w:eastAsia="楷体"/>
          <w:color w:val="auto"/>
          <w:szCs w:val="21"/>
          <w:highlight w:val="none"/>
          <w:u w:val="none"/>
        </w:rPr>
      </w:pPr>
      <w:r>
        <w:rPr>
          <w:color w:val="auto"/>
          <w:szCs w:val="21"/>
          <w:highlight w:val="none"/>
          <w:u w:val="none"/>
        </w:rPr>
        <w:t>4、</w:t>
      </w:r>
      <w:r>
        <w:rPr>
          <w:rFonts w:hint="eastAsia"/>
          <w:color w:val="auto"/>
          <w:szCs w:val="21"/>
          <w:highlight w:val="none"/>
          <w:u w:val="none"/>
        </w:rPr>
        <w:t>协助产品投资者向甲方查询金融产品相关信息。</w:t>
      </w:r>
    </w:p>
    <w:p>
      <w:pPr>
        <w:pStyle w:val="81"/>
        <w:rPr>
          <w:rFonts w:ascii="楷体" w:hAnsi="楷体" w:eastAsia="楷体"/>
          <w:color w:val="auto"/>
          <w:szCs w:val="21"/>
          <w:highlight w:val="none"/>
          <w:u w:val="none"/>
        </w:rPr>
      </w:pPr>
      <w:r>
        <w:rPr>
          <w:color w:val="auto"/>
          <w:szCs w:val="21"/>
          <w:highlight w:val="none"/>
          <w:u w:val="none"/>
        </w:rPr>
        <w:t>5、</w:t>
      </w:r>
      <w:r>
        <w:rPr>
          <w:rFonts w:hint="eastAsia"/>
          <w:color w:val="auto"/>
          <w:szCs w:val="21"/>
          <w:highlight w:val="none"/>
          <w:u w:val="none"/>
        </w:rPr>
        <w:t>乙方负责审核及保管乙方客户的身份资料（对自然人客户，指身份证件复印件，对机构客户，指营业执照和组织机构代码复印件）。乙方应当了解客户的身份、财产和收入状况、金融知识和投资经验、投资目标、风险偏好等基本情况，评估其购买代销产品的适当性，按照适用法律的有关规定履行客户</w:t>
      </w:r>
      <w:r>
        <w:rPr>
          <w:color w:val="auto"/>
          <w:szCs w:val="21"/>
          <w:highlight w:val="none"/>
          <w:u w:val="none"/>
        </w:rPr>
        <w:t xml:space="preserve"> </w:t>
      </w:r>
      <w:r>
        <w:rPr>
          <w:rFonts w:hint="eastAsia"/>
          <w:color w:val="auto"/>
          <w:szCs w:val="21"/>
          <w:highlight w:val="none"/>
          <w:u w:val="none"/>
        </w:rPr>
        <w:t>适当性审查、反洗钱等义务，甲方应予以配合。</w:t>
      </w:r>
    </w:p>
    <w:p>
      <w:pPr>
        <w:pStyle w:val="81"/>
        <w:rPr>
          <w:rFonts w:ascii="楷体" w:hAnsi="楷体" w:eastAsia="楷体"/>
          <w:color w:val="auto"/>
          <w:szCs w:val="21"/>
          <w:highlight w:val="none"/>
          <w:u w:val="none"/>
        </w:rPr>
      </w:pPr>
      <w:r>
        <w:rPr>
          <w:color w:val="auto"/>
          <w:szCs w:val="21"/>
          <w:highlight w:val="none"/>
          <w:u w:val="none"/>
        </w:rPr>
        <w:t>6、</w:t>
      </w:r>
      <w:r>
        <w:rPr>
          <w:rFonts w:hint="eastAsia"/>
          <w:color w:val="auto"/>
          <w:szCs w:val="21"/>
          <w:highlight w:val="none"/>
          <w:u w:val="none"/>
        </w:rPr>
        <w:t>相关法律法规及本协议约定的其他义务。</w:t>
      </w:r>
    </w:p>
    <w:p>
      <w:pPr>
        <w:pStyle w:val="81"/>
        <w:rPr>
          <w:rFonts w:ascii="楷体" w:hAnsi="楷体" w:eastAsia="楷体"/>
          <w:color w:val="auto"/>
          <w:szCs w:val="21"/>
          <w:highlight w:val="none"/>
          <w:u w:val="none"/>
        </w:rPr>
      </w:pPr>
      <w:r>
        <w:rPr>
          <w:color w:val="auto"/>
          <w:szCs w:val="21"/>
          <w:highlight w:val="none"/>
          <w:u w:val="none"/>
        </w:rPr>
        <w:t>四、</w:t>
      </w:r>
      <w:r>
        <w:rPr>
          <w:rFonts w:hint="eastAsia"/>
          <w:color w:val="auto"/>
          <w:szCs w:val="21"/>
          <w:highlight w:val="none"/>
          <w:u w:val="none"/>
        </w:rPr>
        <w:t>销售代理协议的效力</w:t>
      </w:r>
    </w:p>
    <w:p>
      <w:pPr>
        <w:pStyle w:val="81"/>
        <w:rPr>
          <w:rFonts w:ascii="楷体" w:hAnsi="楷体" w:eastAsia="楷体"/>
          <w:color w:val="auto"/>
          <w:szCs w:val="21"/>
          <w:highlight w:val="none"/>
          <w:u w:val="none"/>
        </w:rPr>
      </w:pPr>
      <w:r>
        <w:rPr>
          <w:rFonts w:hint="eastAsia"/>
          <w:color w:val="auto"/>
          <w:szCs w:val="21"/>
          <w:highlight w:val="none"/>
          <w:u w:val="none"/>
        </w:rPr>
        <w:t>（一）基金销售代理协议经双方法定代表人或授权签字人签字并加盖双方公章后生效。</w:t>
      </w:r>
    </w:p>
    <w:p>
      <w:pPr>
        <w:pStyle w:val="81"/>
        <w:rPr>
          <w:rFonts w:ascii="楷体" w:hAnsi="楷体" w:eastAsia="楷体"/>
          <w:color w:val="auto"/>
          <w:szCs w:val="21"/>
          <w:highlight w:val="none"/>
          <w:u w:val="none"/>
        </w:rPr>
      </w:pPr>
      <w:r>
        <w:rPr>
          <w:rFonts w:hint="eastAsia"/>
          <w:color w:val="auto"/>
          <w:szCs w:val="21"/>
          <w:highlight w:val="none"/>
          <w:u w:val="none"/>
        </w:rPr>
        <w:t>（二）基金销售代理协议由甲乙双方共同制定，对双方具有同等约束力，未经另一方书面同意，任何一方不得擅自修改、终止本协议。未尽事宜，以补充协议为准并具有同等法律效力。</w:t>
      </w:r>
    </w:p>
    <w:p>
      <w:pPr>
        <w:spacing w:line="360" w:lineRule="auto"/>
        <w:ind w:firstLine="420" w:firstLineChars="200"/>
        <w:rPr>
          <w:rFonts w:ascii="楷体" w:hAnsi="楷体" w:eastAsia="楷体"/>
          <w:color w:val="auto"/>
          <w:szCs w:val="21"/>
          <w:highlight w:val="none"/>
          <w:u w:val="none"/>
        </w:rPr>
      </w:pPr>
      <w:r>
        <w:rPr>
          <w:rFonts w:hint="eastAsia" w:ascii="楷体" w:hAnsi="楷体" w:eastAsia="楷体"/>
          <w:color w:val="auto"/>
          <w:szCs w:val="21"/>
          <w:highlight w:val="none"/>
          <w:u w:val="none"/>
        </w:rPr>
        <w:t>（本页以下无正文）</w:t>
      </w:r>
    </w:p>
    <w:p>
      <w:pPr>
        <w:spacing w:line="360" w:lineRule="auto"/>
        <w:ind w:firstLine="420" w:firstLineChars="200"/>
        <w:rPr>
          <w:rFonts w:ascii="楷体" w:hAnsi="楷体" w:eastAsia="楷体"/>
          <w:color w:val="auto"/>
          <w:szCs w:val="21"/>
          <w:highlight w:val="none"/>
          <w:u w:val="none"/>
        </w:rPr>
      </w:pPr>
    </w:p>
    <w:p>
      <w:pPr>
        <w:spacing w:line="360" w:lineRule="auto"/>
        <w:ind w:firstLine="420" w:firstLineChars="200"/>
        <w:rPr>
          <w:rFonts w:ascii="楷体" w:hAnsi="楷体" w:eastAsia="楷体"/>
          <w:color w:val="auto"/>
          <w:szCs w:val="21"/>
          <w:highlight w:val="none"/>
          <w:u w:val="none"/>
        </w:rPr>
      </w:pPr>
    </w:p>
    <w:p>
      <w:pPr>
        <w:spacing w:line="360" w:lineRule="auto"/>
        <w:ind w:firstLine="420" w:firstLineChars="200"/>
        <w:rPr>
          <w:rFonts w:ascii="楷体" w:hAnsi="楷体" w:eastAsia="楷体"/>
          <w:color w:val="auto"/>
          <w:szCs w:val="21"/>
          <w:highlight w:val="none"/>
          <w:u w:val="none"/>
        </w:rPr>
      </w:pPr>
    </w:p>
    <w:p>
      <w:pPr>
        <w:spacing w:line="360" w:lineRule="auto"/>
        <w:ind w:firstLine="420" w:firstLineChars="200"/>
        <w:rPr>
          <w:rFonts w:ascii="楷体" w:hAnsi="楷体" w:eastAsia="楷体"/>
          <w:color w:val="auto"/>
          <w:szCs w:val="21"/>
          <w:highlight w:val="none"/>
          <w:u w:val="none"/>
        </w:rPr>
      </w:pPr>
      <w:r>
        <w:rPr>
          <w:rFonts w:hint="eastAsia" w:ascii="楷体" w:hAnsi="楷体" w:eastAsia="楷体"/>
          <w:color w:val="auto"/>
          <w:szCs w:val="21"/>
          <w:highlight w:val="none"/>
          <w:u w:val="none"/>
        </w:rPr>
        <w:t>作为该私募基金的投资者，本人</w:t>
      </w:r>
      <w:r>
        <w:rPr>
          <w:rFonts w:ascii="楷体" w:hAnsi="楷体" w:eastAsia="楷体"/>
          <w:color w:val="auto"/>
          <w:szCs w:val="21"/>
          <w:highlight w:val="none"/>
          <w:u w:val="none"/>
        </w:rPr>
        <w:t>/机构已认真阅读并完全认可上述基金合同附件二《基金销售代理协议及补充协议摘要》的所有内容，并愿意自行承担购买私募基金的法律责任。</w:t>
      </w:r>
    </w:p>
    <w:p>
      <w:pPr>
        <w:spacing w:line="360" w:lineRule="auto"/>
        <w:ind w:right="1680" w:rightChars="800" w:firstLine="420" w:firstLineChars="200"/>
        <w:jc w:val="right"/>
        <w:rPr>
          <w:rFonts w:ascii="楷体" w:hAnsi="楷体" w:eastAsia="楷体"/>
          <w:color w:val="auto"/>
          <w:szCs w:val="21"/>
          <w:highlight w:val="none"/>
          <w:u w:val="none"/>
        </w:rPr>
      </w:pPr>
    </w:p>
    <w:p>
      <w:pPr>
        <w:spacing w:line="360" w:lineRule="auto"/>
        <w:ind w:right="1680" w:rightChars="800" w:firstLine="420" w:firstLineChars="200"/>
        <w:jc w:val="right"/>
        <w:rPr>
          <w:rFonts w:ascii="楷体" w:hAnsi="楷体" w:eastAsia="楷体"/>
          <w:color w:val="auto"/>
          <w:szCs w:val="21"/>
          <w:highlight w:val="none"/>
          <w:u w:val="none"/>
        </w:rPr>
      </w:pPr>
    </w:p>
    <w:p>
      <w:pPr>
        <w:spacing w:line="360" w:lineRule="auto"/>
        <w:ind w:right="1680" w:rightChars="800" w:firstLine="420" w:firstLineChars="200"/>
        <w:jc w:val="left"/>
        <w:rPr>
          <w:rFonts w:ascii="楷体" w:hAnsi="楷体" w:eastAsia="楷体"/>
          <w:color w:val="auto"/>
          <w:szCs w:val="21"/>
          <w:highlight w:val="none"/>
          <w:u w:val="none"/>
        </w:rPr>
      </w:pPr>
      <w:r>
        <w:rPr>
          <w:rFonts w:hint="eastAsia" w:ascii="楷体" w:hAnsi="楷体" w:eastAsia="楷体"/>
          <w:color w:val="auto"/>
          <w:szCs w:val="21"/>
          <w:highlight w:val="none"/>
          <w:u w:val="none"/>
        </w:rPr>
        <w:t>基金投资者</w:t>
      </w:r>
    </w:p>
    <w:p>
      <w:pPr>
        <w:spacing w:line="360" w:lineRule="auto"/>
        <w:ind w:right="1680" w:rightChars="800" w:firstLine="420" w:firstLineChars="200"/>
        <w:jc w:val="left"/>
        <w:rPr>
          <w:rFonts w:ascii="楷体" w:hAnsi="楷体" w:eastAsia="楷体"/>
          <w:color w:val="auto"/>
          <w:szCs w:val="21"/>
          <w:highlight w:val="none"/>
          <w:u w:val="none"/>
        </w:rPr>
      </w:pPr>
      <w:r>
        <w:rPr>
          <w:rFonts w:hint="eastAsia" w:ascii="楷体" w:hAnsi="楷体" w:eastAsia="楷体"/>
          <w:color w:val="auto"/>
          <w:szCs w:val="21"/>
          <w:highlight w:val="none"/>
          <w:u w:val="none"/>
        </w:rPr>
        <w:t>（自然人签字或机构盖章）：</w:t>
      </w:r>
    </w:p>
    <w:p>
      <w:pPr>
        <w:spacing w:line="360" w:lineRule="auto"/>
        <w:ind w:right="1680" w:rightChars="800" w:firstLine="420" w:firstLineChars="200"/>
        <w:jc w:val="left"/>
        <w:rPr>
          <w:rFonts w:ascii="楷体" w:hAnsi="楷体" w:eastAsia="楷体"/>
          <w:color w:val="auto"/>
          <w:szCs w:val="21"/>
          <w:highlight w:val="none"/>
          <w:u w:val="none"/>
        </w:rPr>
      </w:pPr>
    </w:p>
    <w:p>
      <w:pPr>
        <w:spacing w:line="360" w:lineRule="auto"/>
        <w:ind w:right="1680" w:rightChars="800" w:firstLine="420" w:firstLineChars="200"/>
        <w:jc w:val="left"/>
        <w:rPr>
          <w:rFonts w:ascii="楷体" w:hAnsi="楷体" w:eastAsia="楷体"/>
          <w:color w:val="auto"/>
          <w:szCs w:val="21"/>
          <w:highlight w:val="none"/>
          <w:u w:val="none"/>
        </w:rPr>
      </w:pPr>
      <w:r>
        <w:rPr>
          <w:rFonts w:hint="eastAsia" w:ascii="楷体" w:hAnsi="楷体" w:eastAsia="楷体"/>
          <w:color w:val="auto"/>
          <w:szCs w:val="21"/>
          <w:highlight w:val="none"/>
          <w:u w:val="none"/>
        </w:rPr>
        <w:t>日期：</w:t>
      </w:r>
    </w:p>
    <w:p>
      <w:pPr>
        <w:spacing w:line="360" w:lineRule="auto"/>
        <w:ind w:firstLine="420" w:firstLineChars="200"/>
        <w:jc w:val="left"/>
        <w:rPr>
          <w:rFonts w:ascii="楷体" w:hAnsi="楷体" w:eastAsia="楷体"/>
          <w:color w:val="auto"/>
          <w:szCs w:val="21"/>
          <w:highlight w:val="none"/>
          <w:u w:val="none"/>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_GB2312">
    <w:altName w:val="宋体"/>
    <w:panose1 w:val="00000000000000000000"/>
    <w:charset w:val="86"/>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0"/>
      <w:jc w:val="center"/>
    </w:pPr>
    <w:r>
      <w:fldChar w:fldCharType="begin"/>
    </w:r>
    <w:r>
      <w:instrText xml:space="preserve"> PAGE   \* MERGEFORMAT </w:instrText>
    </w:r>
    <w:r>
      <w:fldChar w:fldCharType="separate"/>
    </w:r>
    <w:r>
      <w:rPr>
        <w:lang w:val="zh-CN"/>
      </w:rPr>
      <w:t>54</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rPr>
        <w:rFonts w:ascii="楷体" w:hAnsi="楷体" w:eastAsia="楷体"/>
      </w:rPr>
    </w:pPr>
    <w:r>
      <w:rPr>
        <w:rFonts w:hint="eastAsia" w:ascii="楷体" w:hAnsi="楷体" w:eastAsia="楷体"/>
        <w:sz w:val="18"/>
        <w:szCs w:val="18"/>
      </w:rPr>
      <w:t>睿璞投资-睿洪三号私募证券投资基金基金合同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rPr>
        <w:rFonts w:ascii="楷体" w:hAnsi="楷体" w:eastAsia="楷体"/>
        <w:szCs w:val="21"/>
      </w:rPr>
    </w:pPr>
    <w:r>
      <w:rPr>
        <w:rFonts w:hint="eastAsia" w:ascii="楷体" w:hAnsi="楷体" w:eastAsia="楷体"/>
        <w:szCs w:val="21"/>
      </w:rPr>
      <w:t>睿璞投资-睿洪三号私募证券投资基金</w:t>
    </w:r>
    <w:r>
      <w:rPr>
        <w:rFonts w:hint="eastAsia" w:ascii="楷体" w:hAnsi="楷体" w:eastAsia="楷体"/>
      </w:rPr>
      <w:t>基金合同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37D8C"/>
    <w:rsid w:val="0001435C"/>
    <w:rsid w:val="000A1E26"/>
    <w:rsid w:val="000A5C2C"/>
    <w:rsid w:val="000B01A4"/>
    <w:rsid w:val="00112E4E"/>
    <w:rsid w:val="001850AC"/>
    <w:rsid w:val="00196F54"/>
    <w:rsid w:val="001C3D5C"/>
    <w:rsid w:val="00232C4F"/>
    <w:rsid w:val="002B0E6F"/>
    <w:rsid w:val="002B5967"/>
    <w:rsid w:val="002D4D9E"/>
    <w:rsid w:val="002E70DC"/>
    <w:rsid w:val="002F682A"/>
    <w:rsid w:val="00304A54"/>
    <w:rsid w:val="003307E1"/>
    <w:rsid w:val="00392E03"/>
    <w:rsid w:val="0041055E"/>
    <w:rsid w:val="004808C4"/>
    <w:rsid w:val="004955EC"/>
    <w:rsid w:val="004F74D1"/>
    <w:rsid w:val="005D3CF0"/>
    <w:rsid w:val="006B287E"/>
    <w:rsid w:val="006C2979"/>
    <w:rsid w:val="006C4B2F"/>
    <w:rsid w:val="007202BE"/>
    <w:rsid w:val="00761359"/>
    <w:rsid w:val="007A23E0"/>
    <w:rsid w:val="007B1DC6"/>
    <w:rsid w:val="007E42F1"/>
    <w:rsid w:val="00822490"/>
    <w:rsid w:val="008656F7"/>
    <w:rsid w:val="0086680B"/>
    <w:rsid w:val="00896B4C"/>
    <w:rsid w:val="009F43E3"/>
    <w:rsid w:val="00A14BE2"/>
    <w:rsid w:val="00A67EC6"/>
    <w:rsid w:val="00A80936"/>
    <w:rsid w:val="00AC53BD"/>
    <w:rsid w:val="00B37D8C"/>
    <w:rsid w:val="00B41B67"/>
    <w:rsid w:val="00B632D8"/>
    <w:rsid w:val="00B67A6C"/>
    <w:rsid w:val="00B8698C"/>
    <w:rsid w:val="00BA7ABA"/>
    <w:rsid w:val="00BE3C53"/>
    <w:rsid w:val="00BE5461"/>
    <w:rsid w:val="00C2518B"/>
    <w:rsid w:val="00DC6ECA"/>
    <w:rsid w:val="00DD78C3"/>
    <w:rsid w:val="00DE1F9A"/>
    <w:rsid w:val="00DE2DBD"/>
    <w:rsid w:val="00EC26B3"/>
    <w:rsid w:val="00ED52BE"/>
    <w:rsid w:val="00F00748"/>
    <w:rsid w:val="00F25C15"/>
    <w:rsid w:val="00F34F8E"/>
    <w:rsid w:val="00F95311"/>
    <w:rsid w:val="00FB2D6B"/>
    <w:rsid w:val="00FD6149"/>
    <w:rsid w:val="02066200"/>
    <w:rsid w:val="04210BC8"/>
    <w:rsid w:val="185D1CC9"/>
    <w:rsid w:val="1F340C1C"/>
    <w:rsid w:val="69F8431C"/>
    <w:rsid w:val="6B1168D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70"/>
    <w:qFormat/>
    <w:uiPriority w:val="0"/>
    <w:pPr>
      <w:keepNext/>
      <w:keepLines/>
      <w:adjustRightInd w:val="0"/>
      <w:snapToGrid w:val="0"/>
      <w:spacing w:before="200" w:after="200" w:line="360" w:lineRule="auto"/>
      <w:jc w:val="center"/>
      <w:outlineLvl w:val="0"/>
    </w:pPr>
    <w:rPr>
      <w:b/>
      <w:bCs/>
      <w:kern w:val="44"/>
      <w:sz w:val="28"/>
      <w:szCs w:val="44"/>
    </w:rPr>
  </w:style>
  <w:style w:type="paragraph" w:styleId="5">
    <w:name w:val="heading 2"/>
    <w:basedOn w:val="1"/>
    <w:next w:val="1"/>
    <w:link w:val="65"/>
    <w:qFormat/>
    <w:uiPriority w:val="0"/>
    <w:pPr>
      <w:keepNext/>
      <w:keepLines/>
      <w:adjustRightInd w:val="0"/>
      <w:snapToGrid w:val="0"/>
      <w:spacing w:before="120" w:after="120" w:line="360" w:lineRule="auto"/>
      <w:outlineLvl w:val="1"/>
    </w:pPr>
    <w:rPr>
      <w:rFonts w:ascii="Arial" w:hAnsi="Arial" w:eastAsia="黑体"/>
      <w:bCs/>
      <w:sz w:val="24"/>
      <w:szCs w:val="32"/>
    </w:rPr>
  </w:style>
  <w:style w:type="paragraph" w:styleId="6">
    <w:name w:val="heading 3"/>
    <w:basedOn w:val="1"/>
    <w:next w:val="1"/>
    <w:link w:val="64"/>
    <w:qFormat/>
    <w:uiPriority w:val="0"/>
    <w:pPr>
      <w:keepNext/>
      <w:keepLines/>
      <w:spacing w:before="260" w:after="260" w:line="415" w:lineRule="auto"/>
      <w:outlineLvl w:val="2"/>
    </w:pPr>
    <w:rPr>
      <w:b/>
      <w:bCs/>
      <w:sz w:val="32"/>
      <w:szCs w:val="32"/>
    </w:rPr>
  </w:style>
  <w:style w:type="paragraph" w:styleId="7">
    <w:name w:val="heading 4"/>
    <w:basedOn w:val="1"/>
    <w:next w:val="1"/>
    <w:link w:val="63"/>
    <w:qFormat/>
    <w:uiPriority w:val="0"/>
    <w:pPr>
      <w:keepNext/>
      <w:keepLines/>
      <w:spacing w:before="280" w:after="290" w:line="374" w:lineRule="auto"/>
      <w:outlineLvl w:val="3"/>
    </w:pPr>
    <w:rPr>
      <w:rFonts w:ascii="Arial" w:hAnsi="Arial" w:eastAsia="黑体"/>
      <w:b/>
      <w:bCs/>
      <w:sz w:val="28"/>
      <w:szCs w:val="28"/>
    </w:rPr>
  </w:style>
  <w:style w:type="paragraph" w:styleId="8">
    <w:name w:val="heading 5"/>
    <w:basedOn w:val="1"/>
    <w:next w:val="1"/>
    <w:link w:val="72"/>
    <w:qFormat/>
    <w:uiPriority w:val="0"/>
    <w:pPr>
      <w:keepNext/>
      <w:keepLines/>
      <w:spacing w:before="280" w:after="290" w:line="374" w:lineRule="auto"/>
      <w:outlineLvl w:val="4"/>
    </w:pPr>
    <w:rPr>
      <w:b/>
      <w:bCs/>
      <w:sz w:val="28"/>
      <w:szCs w:val="28"/>
    </w:rPr>
  </w:style>
  <w:style w:type="paragraph" w:styleId="9">
    <w:name w:val="heading 6"/>
    <w:basedOn w:val="1"/>
    <w:next w:val="1"/>
    <w:link w:val="69"/>
    <w:qFormat/>
    <w:uiPriority w:val="0"/>
    <w:pPr>
      <w:keepNext/>
      <w:keepLines/>
      <w:spacing w:before="240" w:after="64" w:line="319" w:lineRule="auto"/>
      <w:outlineLvl w:val="5"/>
    </w:pPr>
    <w:rPr>
      <w:rFonts w:ascii="Arial" w:hAnsi="Arial" w:eastAsia="黑体"/>
      <w:b/>
      <w:bCs/>
      <w:sz w:val="24"/>
    </w:rPr>
  </w:style>
  <w:style w:type="paragraph" w:styleId="10">
    <w:name w:val="heading 7"/>
    <w:basedOn w:val="1"/>
    <w:next w:val="1"/>
    <w:link w:val="67"/>
    <w:qFormat/>
    <w:uiPriority w:val="0"/>
    <w:pPr>
      <w:keepNext/>
      <w:keepLines/>
      <w:spacing w:before="240" w:after="64" w:line="319" w:lineRule="auto"/>
      <w:outlineLvl w:val="6"/>
    </w:pPr>
    <w:rPr>
      <w:b/>
      <w:bCs/>
      <w:sz w:val="24"/>
    </w:rPr>
  </w:style>
  <w:style w:type="paragraph" w:styleId="11">
    <w:name w:val="heading 8"/>
    <w:basedOn w:val="1"/>
    <w:next w:val="1"/>
    <w:link w:val="62"/>
    <w:qFormat/>
    <w:uiPriority w:val="0"/>
    <w:pPr>
      <w:keepNext/>
      <w:keepLines/>
      <w:spacing w:before="240" w:after="64" w:line="319" w:lineRule="auto"/>
      <w:outlineLvl w:val="7"/>
    </w:pPr>
    <w:rPr>
      <w:rFonts w:ascii="Arial" w:hAnsi="Arial" w:eastAsia="黑体"/>
      <w:sz w:val="24"/>
    </w:rPr>
  </w:style>
  <w:style w:type="paragraph" w:styleId="12">
    <w:name w:val="heading 9"/>
    <w:basedOn w:val="1"/>
    <w:next w:val="1"/>
    <w:link w:val="66"/>
    <w:qFormat/>
    <w:uiPriority w:val="0"/>
    <w:pPr>
      <w:keepNext/>
      <w:keepLines/>
      <w:spacing w:before="240" w:after="64" w:line="319" w:lineRule="auto"/>
      <w:outlineLvl w:val="8"/>
    </w:pPr>
    <w:rPr>
      <w:rFonts w:ascii="Arial" w:hAnsi="Arial" w:eastAsia="黑体"/>
      <w:szCs w:val="21"/>
    </w:rPr>
  </w:style>
  <w:style w:type="character" w:default="1" w:styleId="29">
    <w:name w:val="Default Paragraph Font"/>
    <w:semiHidden/>
    <w:unhideWhenUsed/>
    <w:qFormat/>
    <w:uiPriority w:val="1"/>
  </w:style>
  <w:style w:type="table" w:default="1" w:styleId="3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semiHidden/>
    <w:unhideWhenUsed/>
    <w:qFormat/>
    <w:uiPriority w:val="0"/>
    <w:pPr>
      <w:ind w:firstLine="420" w:firstLineChars="200"/>
    </w:pPr>
  </w:style>
  <w:style w:type="paragraph" w:styleId="3">
    <w:name w:val="Body Text Indent"/>
    <w:basedOn w:val="1"/>
    <w:semiHidden/>
    <w:unhideWhenUsed/>
    <w:uiPriority w:val="0"/>
    <w:pPr>
      <w:spacing w:after="120" w:afterLines="0" w:afterAutospacing="0"/>
      <w:ind w:left="420" w:leftChars="200"/>
    </w:pPr>
  </w:style>
  <w:style w:type="paragraph" w:styleId="13">
    <w:name w:val="annotation subject"/>
    <w:basedOn w:val="14"/>
    <w:next w:val="14"/>
    <w:qFormat/>
    <w:uiPriority w:val="0"/>
    <w:rPr>
      <w:b/>
      <w:bCs/>
    </w:rPr>
  </w:style>
  <w:style w:type="paragraph" w:styleId="14">
    <w:name w:val="annotation text"/>
    <w:basedOn w:val="1"/>
    <w:link w:val="74"/>
    <w:qFormat/>
    <w:uiPriority w:val="0"/>
    <w:pPr>
      <w:jc w:val="left"/>
    </w:pPr>
  </w:style>
  <w:style w:type="paragraph" w:styleId="15">
    <w:name w:val="toc 7"/>
    <w:basedOn w:val="1"/>
    <w:next w:val="1"/>
    <w:qFormat/>
    <w:uiPriority w:val="0"/>
    <w:pPr>
      <w:ind w:left="1260"/>
      <w:jc w:val="left"/>
    </w:pPr>
    <w:rPr>
      <w:sz w:val="18"/>
      <w:szCs w:val="18"/>
    </w:rPr>
  </w:style>
  <w:style w:type="paragraph" w:styleId="16">
    <w:name w:val="toc 5"/>
    <w:basedOn w:val="1"/>
    <w:next w:val="1"/>
    <w:qFormat/>
    <w:uiPriority w:val="0"/>
    <w:pPr>
      <w:ind w:left="840"/>
      <w:jc w:val="left"/>
    </w:pPr>
    <w:rPr>
      <w:sz w:val="18"/>
      <w:szCs w:val="18"/>
    </w:rPr>
  </w:style>
  <w:style w:type="paragraph" w:styleId="17">
    <w:name w:val="toc 3"/>
    <w:basedOn w:val="1"/>
    <w:next w:val="1"/>
    <w:qFormat/>
    <w:uiPriority w:val="0"/>
    <w:pPr>
      <w:ind w:left="420"/>
      <w:jc w:val="left"/>
    </w:pPr>
    <w:rPr>
      <w:i/>
      <w:iCs/>
      <w:sz w:val="20"/>
      <w:szCs w:val="20"/>
    </w:rPr>
  </w:style>
  <w:style w:type="paragraph" w:styleId="18">
    <w:name w:val="toc 8"/>
    <w:basedOn w:val="1"/>
    <w:next w:val="1"/>
    <w:qFormat/>
    <w:uiPriority w:val="0"/>
    <w:pPr>
      <w:ind w:left="1470"/>
      <w:jc w:val="left"/>
    </w:pPr>
    <w:rPr>
      <w:sz w:val="18"/>
      <w:szCs w:val="18"/>
    </w:rPr>
  </w:style>
  <w:style w:type="paragraph" w:styleId="19">
    <w:name w:val="Balloon Text"/>
    <w:basedOn w:val="1"/>
    <w:link w:val="71"/>
    <w:qFormat/>
    <w:uiPriority w:val="0"/>
    <w:rPr>
      <w:sz w:val="18"/>
      <w:szCs w:val="18"/>
    </w:rPr>
  </w:style>
  <w:style w:type="paragraph" w:styleId="20">
    <w:name w:val="footer"/>
    <w:basedOn w:val="1"/>
    <w:link w:val="76"/>
    <w:qFormat/>
    <w:uiPriority w:val="0"/>
    <w:pPr>
      <w:tabs>
        <w:tab w:val="center" w:pos="4153"/>
        <w:tab w:val="right" w:pos="8306"/>
      </w:tabs>
      <w:snapToGrid w:val="0"/>
      <w:jc w:val="left"/>
    </w:pPr>
    <w:rPr>
      <w:sz w:val="18"/>
      <w:szCs w:val="18"/>
    </w:rPr>
  </w:style>
  <w:style w:type="paragraph" w:styleId="21">
    <w:name w:val="header"/>
    <w:basedOn w:val="1"/>
    <w:link w:val="73"/>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39"/>
    <w:pPr>
      <w:spacing w:before="120" w:after="120"/>
      <w:jc w:val="left"/>
    </w:pPr>
    <w:rPr>
      <w:b/>
      <w:bCs/>
      <w:caps/>
      <w:sz w:val="20"/>
      <w:szCs w:val="20"/>
    </w:rPr>
  </w:style>
  <w:style w:type="paragraph" w:styleId="23">
    <w:name w:val="toc 4"/>
    <w:basedOn w:val="1"/>
    <w:next w:val="1"/>
    <w:qFormat/>
    <w:uiPriority w:val="0"/>
    <w:pPr>
      <w:ind w:left="630"/>
      <w:jc w:val="left"/>
    </w:pPr>
    <w:rPr>
      <w:sz w:val="18"/>
      <w:szCs w:val="18"/>
    </w:rPr>
  </w:style>
  <w:style w:type="paragraph" w:styleId="24">
    <w:name w:val="Subtitle"/>
    <w:basedOn w:val="1"/>
    <w:next w:val="1"/>
    <w:link w:val="68"/>
    <w:qFormat/>
    <w:uiPriority w:val="0"/>
    <w:pPr>
      <w:spacing w:before="240" w:after="60" w:line="312" w:lineRule="auto"/>
      <w:jc w:val="center"/>
      <w:outlineLvl w:val="1"/>
    </w:pPr>
    <w:rPr>
      <w:rFonts w:ascii="Cambria" w:hAnsi="Cambria" w:cs="黑体"/>
      <w:b/>
      <w:bCs/>
      <w:kern w:val="28"/>
      <w:sz w:val="32"/>
      <w:szCs w:val="32"/>
    </w:rPr>
  </w:style>
  <w:style w:type="paragraph" w:styleId="25">
    <w:name w:val="toc 6"/>
    <w:basedOn w:val="1"/>
    <w:next w:val="1"/>
    <w:qFormat/>
    <w:uiPriority w:val="0"/>
    <w:pPr>
      <w:ind w:left="1050"/>
      <w:jc w:val="left"/>
    </w:pPr>
    <w:rPr>
      <w:sz w:val="18"/>
      <w:szCs w:val="18"/>
    </w:rPr>
  </w:style>
  <w:style w:type="paragraph" w:styleId="26">
    <w:name w:val="toc 2"/>
    <w:basedOn w:val="1"/>
    <w:next w:val="1"/>
    <w:qFormat/>
    <w:uiPriority w:val="0"/>
    <w:pPr>
      <w:ind w:left="210"/>
      <w:jc w:val="left"/>
    </w:pPr>
    <w:rPr>
      <w:smallCaps/>
      <w:sz w:val="20"/>
      <w:szCs w:val="20"/>
    </w:rPr>
  </w:style>
  <w:style w:type="paragraph" w:styleId="27">
    <w:name w:val="toc 9"/>
    <w:basedOn w:val="1"/>
    <w:next w:val="1"/>
    <w:qFormat/>
    <w:uiPriority w:val="0"/>
    <w:pPr>
      <w:ind w:left="1680"/>
      <w:jc w:val="left"/>
    </w:pPr>
    <w:rPr>
      <w:sz w:val="18"/>
      <w:szCs w:val="18"/>
    </w:rPr>
  </w:style>
  <w:style w:type="paragraph" w:styleId="28">
    <w:name w:val="Title"/>
    <w:basedOn w:val="1"/>
    <w:next w:val="1"/>
    <w:link w:val="79"/>
    <w:qFormat/>
    <w:uiPriority w:val="0"/>
    <w:pPr>
      <w:spacing w:before="240" w:after="60"/>
      <w:jc w:val="center"/>
      <w:outlineLvl w:val="0"/>
    </w:pPr>
    <w:rPr>
      <w:rFonts w:ascii="Cambria" w:hAnsi="Cambria" w:cs="黑体"/>
      <w:b/>
      <w:bCs/>
      <w:sz w:val="32"/>
      <w:szCs w:val="32"/>
    </w:rPr>
  </w:style>
  <w:style w:type="character" w:styleId="30">
    <w:name w:val="Hyperlink"/>
    <w:qFormat/>
    <w:uiPriority w:val="99"/>
    <w:rPr>
      <w:color w:val="0000FF"/>
      <w:u w:val="single"/>
    </w:rPr>
  </w:style>
  <w:style w:type="character" w:styleId="31">
    <w:name w:val="annotation reference"/>
    <w:qFormat/>
    <w:uiPriority w:val="99"/>
    <w:rPr>
      <w:sz w:val="21"/>
      <w:szCs w:val="21"/>
    </w:rPr>
  </w:style>
  <w:style w:type="character" w:customStyle="1" w:styleId="33">
    <w:name w:val="正文缩进 Char"/>
    <w:link w:val="34"/>
    <w:qFormat/>
    <w:uiPriority w:val="0"/>
    <w:rPr>
      <w:rFonts w:ascii="宋体" w:hAnsi="宋体" w:eastAsia="宋体" w:cs="Times New Roman"/>
      <w:szCs w:val="21"/>
    </w:rPr>
  </w:style>
  <w:style w:type="paragraph" w:customStyle="1" w:styleId="34">
    <w:name w:val="正文缩进1"/>
    <w:basedOn w:val="1"/>
    <w:link w:val="33"/>
    <w:qFormat/>
    <w:uiPriority w:val="0"/>
    <w:pPr>
      <w:spacing w:line="360" w:lineRule="auto"/>
      <w:ind w:firstLine="420" w:firstLineChars="200"/>
    </w:pPr>
    <w:rPr>
      <w:rFonts w:ascii="宋体" w:hAnsi="宋体"/>
      <w:szCs w:val="21"/>
    </w:rPr>
  </w:style>
  <w:style w:type="character" w:customStyle="1" w:styleId="35">
    <w:name w:val="文档结构图 Char"/>
    <w:link w:val="36"/>
    <w:qFormat/>
    <w:uiPriority w:val="0"/>
    <w:rPr>
      <w:rFonts w:ascii="Times New Roman" w:hAnsi="Times New Roman" w:eastAsia="宋体" w:cs="Times New Roman"/>
      <w:szCs w:val="24"/>
      <w:shd w:val="clear" w:color="auto" w:fill="000080"/>
    </w:rPr>
  </w:style>
  <w:style w:type="paragraph" w:customStyle="1" w:styleId="36">
    <w:name w:val="文档结构图1"/>
    <w:basedOn w:val="1"/>
    <w:link w:val="35"/>
    <w:qFormat/>
    <w:uiPriority w:val="0"/>
    <w:pPr>
      <w:shd w:val="clear" w:color="auto" w:fill="000080"/>
    </w:pPr>
    <w:rPr>
      <w:shd w:val="clear" w:color="auto" w:fill="000080"/>
    </w:rPr>
  </w:style>
  <w:style w:type="character" w:customStyle="1" w:styleId="37">
    <w:name w:val="正文文本缩进 Char"/>
    <w:link w:val="38"/>
    <w:qFormat/>
    <w:uiPriority w:val="0"/>
    <w:rPr>
      <w:rFonts w:ascii="Arial" w:hAnsi="Arial" w:eastAsia="楷体_GB2312"/>
      <w:color w:val="000000"/>
      <w:sz w:val="24"/>
      <w:u w:val="single"/>
    </w:rPr>
  </w:style>
  <w:style w:type="paragraph" w:customStyle="1" w:styleId="38">
    <w:name w:val="正文文本缩进1"/>
    <w:basedOn w:val="1"/>
    <w:link w:val="37"/>
    <w:qFormat/>
    <w:uiPriority w:val="0"/>
    <w:pPr>
      <w:autoSpaceDE w:val="0"/>
      <w:autoSpaceDN w:val="0"/>
      <w:spacing w:line="360" w:lineRule="auto"/>
      <w:ind w:firstLine="420"/>
      <w:textAlignment w:val="bottom"/>
    </w:pPr>
    <w:rPr>
      <w:rFonts w:ascii="Arial" w:hAnsi="Arial" w:eastAsia="楷体_GB2312"/>
      <w:color w:val="000000"/>
      <w:sz w:val="24"/>
      <w:u w:val="single"/>
    </w:rPr>
  </w:style>
  <w:style w:type="character" w:customStyle="1" w:styleId="39">
    <w:name w:val="纯文本 Char"/>
    <w:link w:val="40"/>
    <w:qFormat/>
    <w:uiPriority w:val="0"/>
    <w:rPr>
      <w:rFonts w:ascii="Calibri" w:hAnsi="Courier New" w:eastAsia="宋体" w:cs="Courier New"/>
      <w:szCs w:val="21"/>
    </w:rPr>
  </w:style>
  <w:style w:type="paragraph" w:customStyle="1" w:styleId="40">
    <w:name w:val="纯文本1"/>
    <w:basedOn w:val="1"/>
    <w:link w:val="39"/>
    <w:qFormat/>
    <w:uiPriority w:val="0"/>
    <w:pPr>
      <w:jc w:val="left"/>
    </w:pPr>
    <w:rPr>
      <w:rFonts w:ascii="Calibri" w:hAnsi="Courier New" w:cs="Courier New"/>
      <w:szCs w:val="21"/>
    </w:rPr>
  </w:style>
  <w:style w:type="character" w:customStyle="1" w:styleId="41">
    <w:name w:val="HTML 预设格式 Char"/>
    <w:link w:val="42"/>
    <w:qFormat/>
    <w:uiPriority w:val="0"/>
    <w:rPr>
      <w:rFonts w:ascii="Courier New" w:hAnsi="Courier New" w:cs="Courier New"/>
      <w:kern w:val="2"/>
    </w:rPr>
  </w:style>
  <w:style w:type="paragraph" w:customStyle="1" w:styleId="42">
    <w:name w:val="HTML 预设格式1"/>
    <w:basedOn w:val="1"/>
    <w:link w:val="41"/>
    <w:qFormat/>
    <w:uiPriority w:val="0"/>
    <w:rPr>
      <w:rFonts w:ascii="Courier New" w:hAnsi="Courier New" w:cs="Courier New"/>
    </w:rPr>
  </w:style>
  <w:style w:type="paragraph" w:customStyle="1" w:styleId="43">
    <w:name w:val="批注主题1"/>
    <w:basedOn w:val="14"/>
    <w:next w:val="14"/>
    <w:link w:val="61"/>
    <w:qFormat/>
    <w:uiPriority w:val="0"/>
    <w:rPr>
      <w:b/>
      <w:bCs/>
    </w:rPr>
  </w:style>
  <w:style w:type="paragraph" w:customStyle="1" w:styleId="44">
    <w:name w:val="列出段落21"/>
    <w:basedOn w:val="1"/>
    <w:qFormat/>
    <w:uiPriority w:val="0"/>
    <w:pPr>
      <w:ind w:firstLine="420" w:firstLineChars="200"/>
    </w:pPr>
  </w:style>
  <w:style w:type="paragraph" w:customStyle="1" w:styleId="45">
    <w:name w:val="c-1"/>
    <w:basedOn w:val="1"/>
    <w:qFormat/>
    <w:uiPriority w:val="0"/>
    <w:pPr>
      <w:widowControl/>
      <w:tabs>
        <w:tab w:val="left" w:pos="425"/>
      </w:tabs>
      <w:spacing w:beforeLines="50" w:afterLines="50" w:line="360" w:lineRule="auto"/>
      <w:ind w:left="425" w:hanging="425"/>
      <w:jc w:val="left"/>
      <w:outlineLvl w:val="0"/>
    </w:pPr>
    <w:rPr>
      <w:rFonts w:ascii="宋体" w:hAnsi="宋体"/>
      <w:b/>
      <w:bCs/>
      <w:color w:val="000000"/>
      <w:kern w:val="0"/>
    </w:rPr>
  </w:style>
  <w:style w:type="paragraph" w:customStyle="1" w:styleId="46">
    <w:name w:val="普通(网站)1"/>
    <w:basedOn w:val="1"/>
    <w:qFormat/>
    <w:uiPriority w:val="0"/>
    <w:pPr>
      <w:widowControl/>
      <w:spacing w:before="100" w:beforeAutospacing="1" w:after="100" w:afterAutospacing="1"/>
      <w:jc w:val="left"/>
    </w:pPr>
    <w:rPr>
      <w:rFonts w:ascii="宋体" w:hAnsi="宋体"/>
      <w:kern w:val="0"/>
      <w:sz w:val="24"/>
    </w:rPr>
  </w:style>
  <w:style w:type="paragraph" w:customStyle="1" w:styleId="47">
    <w:name w:val="列出段落2"/>
    <w:basedOn w:val="1"/>
    <w:qFormat/>
    <w:uiPriority w:val="0"/>
    <w:pPr>
      <w:ind w:firstLine="420" w:firstLineChars="200"/>
    </w:pPr>
  </w:style>
  <w:style w:type="paragraph" w:customStyle="1" w:styleId="48">
    <w:name w:val="修订1"/>
    <w:qFormat/>
    <w:uiPriority w:val="0"/>
    <w:rPr>
      <w:rFonts w:ascii="Times New Roman" w:hAnsi="Times New Roman" w:eastAsia="宋体" w:cs="Times New Roman"/>
      <w:kern w:val="2"/>
      <w:sz w:val="21"/>
      <w:szCs w:val="24"/>
      <w:lang w:val="en-US" w:eastAsia="zh-CN" w:bidi="ar-SA"/>
    </w:rPr>
  </w:style>
  <w:style w:type="paragraph" w:customStyle="1" w:styleId="49">
    <w:name w:val="c-3"/>
    <w:basedOn w:val="50"/>
    <w:qFormat/>
    <w:uiPriority w:val="0"/>
    <w:pPr>
      <w:tabs>
        <w:tab w:val="left" w:pos="851"/>
      </w:tabs>
      <w:snapToGrid w:val="0"/>
    </w:pPr>
    <w:rPr>
      <w:rFonts w:hAnsi="_GB2312" w:cs="宋体"/>
      <w:color w:val="2A2A2A"/>
    </w:rPr>
  </w:style>
  <w:style w:type="paragraph" w:customStyle="1" w:styleId="50">
    <w:name w:val="c-2"/>
    <w:basedOn w:val="45"/>
    <w:qFormat/>
    <w:uiPriority w:val="0"/>
    <w:pPr>
      <w:tabs>
        <w:tab w:val="left" w:pos="851"/>
        <w:tab w:val="clear" w:pos="425"/>
      </w:tabs>
      <w:ind w:left="851" w:hanging="851"/>
      <w:jc w:val="both"/>
      <w:outlineLvl w:val="9"/>
    </w:pPr>
    <w:rPr>
      <w:rFonts w:cs="黑体"/>
      <w:b w:val="0"/>
      <w:szCs w:val="21"/>
    </w:rPr>
  </w:style>
  <w:style w:type="paragraph" w:customStyle="1" w:styleId="5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2">
    <w:name w:val="列出段落3"/>
    <w:basedOn w:val="1"/>
    <w:qFormat/>
    <w:uiPriority w:val="34"/>
    <w:pPr>
      <w:ind w:firstLine="420" w:firstLineChars="200"/>
    </w:pPr>
  </w:style>
  <w:style w:type="paragraph" w:customStyle="1" w:styleId="53">
    <w:name w:val="修订11"/>
    <w:qFormat/>
    <w:uiPriority w:val="0"/>
    <w:rPr>
      <w:rFonts w:ascii="Times New Roman" w:hAnsi="Times New Roman" w:eastAsia="宋体" w:cs="Times New Roman"/>
      <w:szCs w:val="24"/>
      <w:lang w:val="en-US" w:eastAsia="zh-CN" w:bidi="ar-SA"/>
    </w:rPr>
  </w:style>
  <w:style w:type="paragraph" w:customStyle="1" w:styleId="54">
    <w:name w:val="列出段落1"/>
    <w:basedOn w:val="1"/>
    <w:qFormat/>
    <w:uiPriority w:val="0"/>
    <w:pPr>
      <w:ind w:firstLine="420" w:firstLineChars="200"/>
    </w:pPr>
  </w:style>
  <w:style w:type="paragraph" w:customStyle="1" w:styleId="55">
    <w:name w:val="1"/>
    <w:basedOn w:val="1"/>
    <w:qFormat/>
    <w:uiPriority w:val="0"/>
    <w:pPr>
      <w:widowControl/>
      <w:spacing w:after="160" w:line="240" w:lineRule="exact"/>
    </w:pPr>
    <w:rPr>
      <w:rFonts w:cs="Arial"/>
      <w:kern w:val="0"/>
      <w:sz w:val="22"/>
      <w:szCs w:val="20"/>
      <w:lang w:eastAsia="en-US"/>
    </w:rPr>
  </w:style>
  <w:style w:type="paragraph" w:customStyle="1" w:styleId="56">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57">
    <w:name w:val="列出段落4"/>
    <w:basedOn w:val="1"/>
    <w:qFormat/>
    <w:uiPriority w:val="34"/>
    <w:pPr>
      <w:ind w:firstLine="420" w:firstLineChars="200"/>
    </w:pPr>
  </w:style>
  <w:style w:type="paragraph" w:customStyle="1" w:styleId="58">
    <w:name w:val="列出段落5"/>
    <w:basedOn w:val="1"/>
    <w:unhideWhenUsed/>
    <w:qFormat/>
    <w:uiPriority w:val="34"/>
    <w:pPr>
      <w:ind w:firstLine="420" w:firstLineChars="200"/>
    </w:pPr>
  </w:style>
  <w:style w:type="paragraph" w:customStyle="1" w:styleId="59">
    <w:name w:val="修订3"/>
    <w:hidden/>
    <w:semiHidden/>
    <w:qFormat/>
    <w:uiPriority w:val="99"/>
    <w:rPr>
      <w:rFonts w:ascii="Times New Roman" w:hAnsi="Times New Roman" w:eastAsia="宋体" w:cs="Times New Roman"/>
      <w:kern w:val="2"/>
      <w:sz w:val="21"/>
      <w:szCs w:val="24"/>
      <w:lang w:val="en-US" w:eastAsia="zh-CN" w:bidi="ar-SA"/>
    </w:rPr>
  </w:style>
  <w:style w:type="character" w:customStyle="1" w:styleId="60">
    <w:name w:val="正文文本缩进 Char1"/>
    <w:qFormat/>
    <w:uiPriority w:val="0"/>
    <w:rPr>
      <w:rFonts w:ascii="Times New Roman" w:hAnsi="Times New Roman" w:eastAsia="宋体" w:cs="Times New Roman"/>
      <w:szCs w:val="24"/>
    </w:rPr>
  </w:style>
  <w:style w:type="character" w:customStyle="1" w:styleId="61">
    <w:name w:val="批注主题 Char Char"/>
    <w:link w:val="43"/>
    <w:qFormat/>
    <w:uiPriority w:val="0"/>
    <w:rPr>
      <w:rFonts w:ascii="Times New Roman" w:hAnsi="Times New Roman" w:eastAsia="宋体" w:cs="Times New Roman"/>
      <w:b/>
      <w:bCs/>
      <w:szCs w:val="24"/>
    </w:rPr>
  </w:style>
  <w:style w:type="character" w:customStyle="1" w:styleId="62">
    <w:name w:val="标题 8 Char"/>
    <w:link w:val="11"/>
    <w:qFormat/>
    <w:uiPriority w:val="0"/>
    <w:rPr>
      <w:rFonts w:ascii="Arial" w:hAnsi="Arial" w:eastAsia="黑体"/>
      <w:sz w:val="24"/>
      <w:szCs w:val="24"/>
    </w:rPr>
  </w:style>
  <w:style w:type="character" w:customStyle="1" w:styleId="63">
    <w:name w:val="标题 4 Char"/>
    <w:link w:val="7"/>
    <w:qFormat/>
    <w:uiPriority w:val="0"/>
    <w:rPr>
      <w:rFonts w:ascii="Arial" w:hAnsi="Arial" w:eastAsia="黑体"/>
      <w:b/>
      <w:bCs/>
      <w:sz w:val="28"/>
      <w:szCs w:val="28"/>
    </w:rPr>
  </w:style>
  <w:style w:type="character" w:customStyle="1" w:styleId="64">
    <w:name w:val="标题 3 Char"/>
    <w:link w:val="6"/>
    <w:qFormat/>
    <w:uiPriority w:val="0"/>
    <w:rPr>
      <w:b/>
      <w:bCs/>
      <w:sz w:val="32"/>
      <w:szCs w:val="32"/>
    </w:rPr>
  </w:style>
  <w:style w:type="character" w:customStyle="1" w:styleId="65">
    <w:name w:val="标题 2 Char"/>
    <w:link w:val="5"/>
    <w:qFormat/>
    <w:uiPriority w:val="0"/>
    <w:rPr>
      <w:rFonts w:ascii="Arial" w:hAnsi="Arial" w:eastAsia="黑体" w:cs="Times New Roman"/>
      <w:bCs/>
      <w:sz w:val="24"/>
      <w:szCs w:val="32"/>
    </w:rPr>
  </w:style>
  <w:style w:type="character" w:customStyle="1" w:styleId="66">
    <w:name w:val="标题 9 Char"/>
    <w:link w:val="12"/>
    <w:qFormat/>
    <w:uiPriority w:val="0"/>
    <w:rPr>
      <w:rFonts w:ascii="Arial" w:hAnsi="Arial" w:eastAsia="黑体"/>
      <w:szCs w:val="21"/>
    </w:rPr>
  </w:style>
  <w:style w:type="character" w:customStyle="1" w:styleId="67">
    <w:name w:val="标题 7 Char"/>
    <w:link w:val="10"/>
    <w:qFormat/>
    <w:uiPriority w:val="0"/>
    <w:rPr>
      <w:b/>
      <w:bCs/>
      <w:sz w:val="24"/>
      <w:szCs w:val="24"/>
    </w:rPr>
  </w:style>
  <w:style w:type="character" w:customStyle="1" w:styleId="68">
    <w:name w:val="副标题 Char"/>
    <w:link w:val="24"/>
    <w:qFormat/>
    <w:uiPriority w:val="0"/>
    <w:rPr>
      <w:rFonts w:ascii="Cambria" w:hAnsi="Cambria" w:cs="黑体"/>
      <w:b/>
      <w:bCs/>
      <w:kern w:val="28"/>
      <w:sz w:val="32"/>
      <w:szCs w:val="32"/>
    </w:rPr>
  </w:style>
  <w:style w:type="character" w:customStyle="1" w:styleId="69">
    <w:name w:val="标题 6 Char"/>
    <w:link w:val="9"/>
    <w:qFormat/>
    <w:uiPriority w:val="0"/>
    <w:rPr>
      <w:rFonts w:ascii="Arial" w:hAnsi="Arial" w:eastAsia="黑体"/>
      <w:b/>
      <w:bCs/>
      <w:sz w:val="24"/>
      <w:szCs w:val="24"/>
    </w:rPr>
  </w:style>
  <w:style w:type="character" w:customStyle="1" w:styleId="70">
    <w:name w:val="标题 1 Char"/>
    <w:link w:val="4"/>
    <w:qFormat/>
    <w:uiPriority w:val="0"/>
    <w:rPr>
      <w:rFonts w:ascii="Times New Roman" w:hAnsi="Times New Roman" w:eastAsia="宋体" w:cs="Times New Roman"/>
      <w:b/>
      <w:bCs/>
      <w:kern w:val="44"/>
      <w:sz w:val="28"/>
      <w:szCs w:val="44"/>
    </w:rPr>
  </w:style>
  <w:style w:type="character" w:customStyle="1" w:styleId="71">
    <w:name w:val="批注框文本 Char"/>
    <w:link w:val="19"/>
    <w:qFormat/>
    <w:uiPriority w:val="0"/>
    <w:rPr>
      <w:rFonts w:ascii="Times New Roman" w:hAnsi="Times New Roman" w:eastAsia="宋体" w:cs="Times New Roman"/>
      <w:sz w:val="18"/>
      <w:szCs w:val="18"/>
    </w:rPr>
  </w:style>
  <w:style w:type="character" w:customStyle="1" w:styleId="72">
    <w:name w:val="标题 5 Char"/>
    <w:link w:val="8"/>
    <w:qFormat/>
    <w:uiPriority w:val="0"/>
    <w:rPr>
      <w:b/>
      <w:bCs/>
      <w:sz w:val="28"/>
      <w:szCs w:val="28"/>
    </w:rPr>
  </w:style>
  <w:style w:type="character" w:customStyle="1" w:styleId="73">
    <w:name w:val="页眉 Char"/>
    <w:link w:val="21"/>
    <w:qFormat/>
    <w:uiPriority w:val="0"/>
    <w:rPr>
      <w:rFonts w:ascii="Times New Roman" w:hAnsi="Times New Roman" w:eastAsia="宋体" w:cs="Times New Roman"/>
      <w:sz w:val="18"/>
      <w:szCs w:val="18"/>
    </w:rPr>
  </w:style>
  <w:style w:type="character" w:customStyle="1" w:styleId="74">
    <w:name w:val="批注文字 Char"/>
    <w:link w:val="14"/>
    <w:qFormat/>
    <w:uiPriority w:val="0"/>
    <w:rPr>
      <w:rFonts w:ascii="Times New Roman" w:hAnsi="Times New Roman" w:eastAsia="宋体" w:cs="Times New Roman"/>
      <w:szCs w:val="24"/>
    </w:rPr>
  </w:style>
  <w:style w:type="character" w:customStyle="1" w:styleId="75">
    <w:name w:val="批注文字 Char1"/>
    <w:qFormat/>
    <w:uiPriority w:val="0"/>
    <w:rPr>
      <w:rFonts w:ascii="Calibri" w:hAnsi="Calibri" w:eastAsia="宋体" w:cs="Times New Roman"/>
    </w:rPr>
  </w:style>
  <w:style w:type="character" w:customStyle="1" w:styleId="76">
    <w:name w:val="页脚 Char"/>
    <w:link w:val="20"/>
    <w:qFormat/>
    <w:uiPriority w:val="0"/>
    <w:rPr>
      <w:rFonts w:ascii="Times New Roman" w:hAnsi="Times New Roman" w:eastAsia="宋体" w:cs="Times New Roman"/>
      <w:sz w:val="18"/>
      <w:szCs w:val="18"/>
    </w:rPr>
  </w:style>
  <w:style w:type="character" w:customStyle="1" w:styleId="77">
    <w:name w:val="页码1"/>
    <w:basedOn w:val="29"/>
    <w:qFormat/>
    <w:uiPriority w:val="0"/>
  </w:style>
  <w:style w:type="character" w:customStyle="1" w:styleId="78">
    <w:name w:val="批注引用1"/>
    <w:qFormat/>
    <w:uiPriority w:val="0"/>
    <w:rPr>
      <w:sz w:val="21"/>
      <w:szCs w:val="21"/>
    </w:rPr>
  </w:style>
  <w:style w:type="character" w:customStyle="1" w:styleId="79">
    <w:name w:val="标题 Char"/>
    <w:link w:val="28"/>
    <w:qFormat/>
    <w:uiPriority w:val="0"/>
    <w:rPr>
      <w:rFonts w:ascii="Cambria" w:hAnsi="Cambria" w:eastAsia="宋体" w:cs="黑体"/>
      <w:b/>
      <w:bCs/>
      <w:sz w:val="32"/>
      <w:szCs w:val="32"/>
    </w:rPr>
  </w:style>
  <w:style w:type="paragraph" w:customStyle="1" w:styleId="80">
    <w:name w:val="Revision"/>
    <w:hidden/>
    <w:semiHidden/>
    <w:qFormat/>
    <w:uiPriority w:val="99"/>
    <w:rPr>
      <w:rFonts w:ascii="Times New Roman" w:hAnsi="Times New Roman" w:eastAsia="宋体" w:cs="Times New Roman"/>
      <w:kern w:val="2"/>
      <w:sz w:val="21"/>
      <w:szCs w:val="24"/>
      <w:lang w:val="en-US" w:eastAsia="zh-CN" w:bidi="ar-SA"/>
    </w:rPr>
  </w:style>
  <w:style w:type="paragraph" w:customStyle="1" w:styleId="81">
    <w:name w:val="正文1"/>
    <w:basedOn w:val="1"/>
    <w:qFormat/>
    <w:uiPriority w:val="0"/>
    <w:pPr>
      <w:spacing w:line="360" w:lineRule="auto"/>
      <w:ind w:firstLine="420" w:firstLineChars="200"/>
    </w:pPr>
    <w:rPr>
      <w:rFonts w:ascii="楷体" w:hAnsi="楷体" w:eastAsia="楷体"/>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wmf"/><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59</Pages>
  <Words>8446</Words>
  <Characters>48143</Characters>
  <Lines>401</Lines>
  <Paragraphs>112</Paragraphs>
  <TotalTime>2</TotalTime>
  <ScaleCrop>false</ScaleCrop>
  <LinksUpToDate>false</LinksUpToDate>
  <CharactersWithSpaces>56477</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2017-05-25T08:56:00Z</dcterms:created>
  <dc:creator>Jenvy</dc:creator>
  <cp:lastModifiedBy>刘辉</cp:lastModifiedBy>
  <cp:lastPrinted>2017-05-19T08:28:00Z</cp:lastPrinted>
  <dcterms:modified xsi:type="dcterms:W3CDTF">2018-11-07T06:03:12Z</dcterms:modified>
  <dc:title>****</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